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LMZDV — Anwendungsbereich</w:t>
      </w:r>
    </w:p>
    <w:p>
      <w:r>
        <w:rPr>
          <w:color w:val="555555"/>
          <w:sz w:val="18"/>
        </w:rPr>
        <w:t xml:space="preserve">Lebensmittelzusatzstoff-Durchführungsverordnung</w:t>
      </w:r>
    </w:p>
    <w:p>
      <w:r>
        <w:rPr>
          <w:color w:val="555555"/>
          <w:sz w:val="18"/>
        </w:rPr>
        <w:t xml:space="preserve">Stand: 09.06.2021 (konsolidierte Textfassung, kein amtliches Inkrafttretensdatum)</w:t>
      </w:r>
    </w:p>
    <w:p>
      <w:r>
        <w:t xml:space="preserve">(1) Diese Verordnung ist anzuwenden in Ergänzung</w:t>
      </w:r>
    </w:p>
    <w:p>
      <w:pPr>
        <w:ind w:left="420"/>
      </w:pPr>
      <w:r>
        <w:t xml:space="preserve">1. zu den Regelungen der Verordnung (EG) Nr. 1333/2008 des Europäischen Parlaments und des Rates vom 16. Dezember 2008 über Lebensmittelzusatzstoffe (ABl. L 354 vom 31.12.2008, S. 16; L 105 vom 27.4.2010, S. 114; L 322 vom 21.11.2012, S. 8; L 123 vom 19.5.2015, S. 122), die zuletzt durch die Verordnung (EU) 2020/1819 (ABl. L 406 vom 3.12.2020, S. 26) geändert worden ist, und der auf sie gestützten Rechtsakte der Europäischen Union im Hinblick auf</w:t>
      </w:r>
    </w:p>
    <w:p>
      <w:pPr>
        <w:ind w:left="780"/>
      </w:pPr>
      <w:r>
        <w:t xml:space="preserve">a) die Verwendung von Lebensmittelzusatzstoffen im Sinne des Artikels 3 Absatz 2 Buchstabe a in Verbindung mit Artikel 2 Absatz 2 der Verordnung (EG) Nr. 1333/2008 in der jeweils geltenden Fassung und</w:t>
      </w:r>
    </w:p>
    <w:p>
      <w:pPr>
        <w:ind w:left="780"/>
      </w:pPr>
      <w:r>
        <w:t xml:space="preserve">b) das Inverkehrbringen und die Kennzeichnung von Lebensmittelzusatzstoffen und Lebensmitteln, die Lebensmittelzusatzstoffe enthalten, sowie</w:t>
      </w:r>
    </w:p>
    <w:p>
      <w:pPr>
        <w:ind w:left="420"/>
      </w:pPr>
      <w:r>
        <w:t xml:space="preserve">2. zu den Regelungen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 und 2008/5/EG der Kommission und der Verordnung (EG) Nr. 608/2004 der Kommission (ABl. L 304 vom 22.11.2011, S. 18; L 331 vom 18.11.2014, S. 41; L 50 vom 21.2.2015, S. 48; L 266 vom 30.9.2016, S. 7), die zuletzt durch die Verordnung (EU) 2015/2283 (ABl. L 327 vom 11.12.2015, S. 1) geändert worden ist, im Hinblick auf die Kennzeichnung von vorverpackten Lebensmitteln im Sinne des Artikels 2 Absatz 2 Buchstabe e der Verordnung (EU) Nr. 1169/2011 in der jeweils geltenden Fassung und nicht vorverpackten Lebensmitteln, die jeweils bestimmt sind zur Abgabe an</w:t>
      </w:r>
    </w:p>
    <w:p>
      <w:pPr>
        <w:ind w:left="780"/>
      </w:pPr>
      <w:r>
        <w:t xml:space="preserve">a) Endverbraucher im Sinne des Artikels 3 Nummer 18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in der jeweils geltenden Fassung, oder</w:t>
      </w:r>
    </w:p>
    <w:p>
      <w:pPr>
        <w:ind w:left="780"/>
      </w:pPr>
      <w:r>
        <w:t xml:space="preserve">b) Anbieter von Gemeinschaftsverpflegung im Sinne des Artikels 2 Absatz 2 Buchstabe d der Verordnung (EU) Nr. 1169/2011.</w:t>
      </w:r>
    </w:p>
    <w:p>
      <w:r>
        <w:t xml:space="preserve">(2) Diese Verordnung regelt das Verbringen, Aufbewahren und Lagern von Nitriten sowie die Anforderungen an das Herstellen von Nitritpökelsalz.</w:t>
      </w:r>
    </w:p>
    <w:p>
      <w:r>
        <w:rPr>
          <w:color w:val="555555"/>
          <w:sz w:val="17"/>
        </w:rPr>
        <w:t xml:space="preserve">Zitiervorschlag: § 1 LMZDV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https://recht.nulegal.eu/gesetze/LMZDV/1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