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LMRStV 2006 — Durchsetzung bestimmter Vorschriften der Verordnung (EG) Nr. 124/2009</w:t>
      </w:r>
    </w:p>
    <w:p>
      <w:r>
        <w:rPr>
          <w:color w:val="555555"/>
          <w:sz w:val="18"/>
        </w:rPr>
        <w:t xml:space="preserve">Lebensmittelrechtliche Straf- und Bußgeldverordnung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Nach § 58 Absatz 3 Nummer 2, Absatz 4 bis 6 des Lebensmittel- und Futtermittelgesetzbuches wird bestraft, wer gegen die Verordnung (EG) Nr. 124/2009 verstößt, indem er vorsätzlich oder fahrlässig</w:t>
      </w:r>
    </w:p>
    <w:p>
      <w:pPr>
        <w:ind w:left="420"/>
      </w:pPr>
      <w:r>
        <w:t xml:space="preserve">1. entgegen Artikel 1 Absatz 1 Unterabsatz 1 ein Lebensmittel in den Verkehr bringt oder</w:t>
      </w:r>
    </w:p>
    <w:p>
      <w:pPr>
        <w:ind w:left="420"/>
      </w:pPr>
      <w:r>
        <w:t xml:space="preserve">2. entgegen Artikel 1 Absatz 1 Unterabsatz 3 ein Lebensmittel mit einem anderen Lebensmittel vermischt.</w:t>
      </w:r>
    </w:p>
    <w:p>
      <w:r>
        <w:rPr>
          <w:color w:val="555555"/>
          <w:sz w:val="17"/>
        </w:rPr>
        <w:t xml:space="preserve">Zitiervorschlag: § 7 LMRStV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https://recht.nulegal.eu/gesetze/LMRStV%202006/7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