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LMRStV 2006 — Durchsetzung bestimmter Vorschriften der Verordnung (EG) Nr. 2074/2005</w:t>
      </w:r>
    </w:p>
    <w:p>
      <w:r>
        <w:rPr>
          <w:color w:val="555555"/>
          <w:sz w:val="18"/>
        </w:rPr>
        <w:t xml:space="preserve">Lebensmittelrechtliche Straf- und 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60 Absatz 4 Nummer 2 Buchstabe a des Lebensmittel- und Futtermittelgesetzbuches handelt, wer vorsätzlich oder fahrlässig entgegen Anhang II Abschnitt I Kapitel II Nummer 1 Satz 3 in Verbindung mit Satz 4 oder Nummer 2 Satz 1 der Verordnung (EG) Nr. 2074/2005 Fisch oder Fischfilets nicht, nicht richtig oder nicht rechtzeitig einer Sichtkontrolle unterzieht.</w:t>
      </w:r>
    </w:p>
    <w:p>
      <w:r>
        <w:rPr>
          <w:color w:val="555555"/>
          <w:sz w:val="17"/>
        </w:rPr>
        <w:t xml:space="preserve">Zitiervorschlag: § 6 LMRStV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https://recht.nulegal.eu/gesetze/LMRStV%202006/6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