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LMRStV 2006 — Durchsetzung bestimmter Vorschriften der Verordnung (EG) Nr. 2073/2005</w:t>
      </w:r>
    </w:p>
    <w:p>
      <w:r>
        <w:rPr>
          <w:color w:val="555555"/>
          <w:sz w:val="18"/>
        </w:rPr>
        <w:t xml:space="preserve">Lebensmittelrechtliche Straf- und Bußgeldverordnung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Nach § 58 Absatz 3 Nummer 2, Absatz 4 bis 6 des Lebensmittel- und Futtermittelgesetzbuches wird bestraft, wer vorsätzlich oder fahrlässig entgegen Artikel 7 Absatz 3 der Verordnung (EG) Nr. 2073/2005 eine Partie Separatorenfleisch verwendet.</w:t>
      </w:r>
    </w:p>
    <w:p>
      <w:r>
        <w:t xml:space="preserve">(2) Ordnungswidrig im Sinne des § 60 Absatz 4 Nummer 2 Buchstabe a des Lebensmittel- und Futtermittelgesetzbuches handelt, wer vorsätzlich oder fahrlässig entgegen Artikel 7 Absatz 1 Unterabsatz 1 in Verbindung mit Absatz 2 Satz 1 der Verordnung (EG) Nr. 2073/2005 ein Erzeugnis oder eine Partie Lebensmittel nicht oder nicht rechtzeitig vom Markt nimmt oder nicht oder nicht rechtzeitig zurückruft.</w:t>
      </w:r>
    </w:p>
    <w:p>
      <w:r>
        <w:rPr>
          <w:color w:val="555555"/>
          <w:sz w:val="17"/>
        </w:rPr>
        <w:t xml:space="preserve">Zitiervorschlag: § 5 LMRStV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https://recht.nulegal.eu/gesetze/LMRStV%202006/5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