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LMRStV 2006 — Durchsetzung bestimmter Vorschriften der Verordnung (EG) Nr. 854/2004</w:t>
      </w:r>
    </w:p>
    <w:p>
      <w:r>
        <w:rPr>
          <w:color w:val="555555"/>
          <w:sz w:val="18"/>
        </w:rPr>
        <w:t xml:space="preserve">Lebensmittelrechtliche Straf- und Bußgeldverordnung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Ordnungswidrig im Sinne des § 60 Absatz 4 Nummer 2 Buchstabe a des Lebensmittel- und Futtermittelgesetzbuches handelt, wer vorsätzlich oder fahrlässig einer vollziehbaren Anordnung nach Artikel 8 in Verbindung mit Anhang IV Kapitel II Nummer 2 Satz 1 der Verordnung (EG) Nr. 854/2004 zuwiderhandelt.</w:t>
      </w:r>
    </w:p>
    <w:p>
      <w:r>
        <w:rPr>
          <w:color w:val="555555"/>
          <w:sz w:val="17"/>
        </w:rPr>
        <w:t xml:space="preserve">Zitiervorschlag: § 4 LMRStV 2006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https://recht.nulegal.eu/gesetze/LMRStV%202006/4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