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LMRStV 2006 — Durchsetzung bestimmter Vorschriften der Durchführungsverordnung (EU) 2015/175</w:t>
      </w:r>
    </w:p>
    <w:p>
      <w:r>
        <w:rPr>
          <w:color w:val="555555"/>
          <w:sz w:val="18"/>
        </w:rPr>
        <w:t xml:space="preserve">Lebensmittelrechtliche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60 Absatz 4 Nummer 2 Buchstabe b des Lebensmittel- und Futtermittelgesetzbuches handelt, wer vorsätzlich oder fahrlässig entgegen Artikel 7 Absatz 2 Satz 2 der Durchführungsverordnung (EU) 2015/175 als Lebensmittelunternehmer oder als sein Vertreter das dort genannte Dokument nicht, nicht richtig, nicht vollständig oder nicht rechtzeitig übermittelt.</w:t>
      </w:r>
    </w:p>
    <w:p>
      <w:r>
        <w:rPr>
          <w:color w:val="555555"/>
          <w:sz w:val="17"/>
        </w:rPr>
        <w:t xml:space="preserve">Zitiervorschlag: § 14 LMRStV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https://recht.nulegal.eu/gesetze/LMRStV%202006/14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