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LMRStV 2006 — Durchsetzung bestimmter Vorschriften der Durchführungsverordnung (EU) Nr. 885/2014</w:t>
      </w:r>
    </w:p>
    <w:p>
      <w:r>
        <w:rPr>
          <w:color w:val="555555"/>
          <w:sz w:val="18"/>
        </w:rPr>
        <w:t xml:space="preserve">Lebensmittelrechtliche Straf- und Bußgeldverordnung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60 Absatz 4 Nummer 2 Buchstabe b des Lebensmittel- und Futtermittelgesetzbuches handelt, wer vorsätzlich oder fahrlässig entgegen Artikel 7 Absatz 2 der Durchführungsverordnung (EU) Nr. 885/2014 das dort genannte Dokument nicht, nicht richtig, nicht vollständig oder nicht rechtzeitig übermittelt.</w:t>
      </w:r>
    </w:p>
    <w:p>
      <w:r>
        <w:rPr>
          <w:color w:val="555555"/>
          <w:sz w:val="17"/>
        </w:rPr>
        <w:t xml:space="preserve">Zitiervorschlag: § 13 LMRStV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https://recht.nulegal.eu/gesetze/LMRStV%202006/13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