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LMRStV 2006 — Durchsetzung bestimmter Vorschriften der Verordnung (EG) Nr. 999/2001</w:t>
      </w:r>
    </w:p>
    <w:p>
      <w:r>
        <w:rPr>
          <w:color w:val="555555"/>
          <w:sz w:val="18"/>
        </w:rPr>
        <w:t xml:space="preserve">Lebensmittelrechtliche Straf- und Bußgeldverordnung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Nach § 58 Absatz 3 Nummer 2, Absatz 4 bis 6 des Lebensmittel- und Futtermittelgesetzbuches wird bestraft, wer gegen die Verordnung (EG) Nr. 999/2001 verstößt, indem er vorsätzlich oder fahrlässig</w:t>
      </w:r>
    </w:p>
    <w:p>
      <w:pPr>
        <w:ind w:left="420"/>
      </w:pPr>
      <w:r>
        <w:t xml:space="preserve">1. als Verfügungsberechtigter über Schlachttiere oder frisches Fleisch entgegen Artikel 8 Absatz 1 Satz 1 in Verbindung mit Anhang V Nummer 1, 2 oder 4.1 Buchstabe a oder b spezifizierte Risikomaterialien nicht oder nicht richtig entfernt,</w:t>
      </w:r>
    </w:p>
    <w:p>
      <w:pPr>
        <w:ind w:left="420"/>
      </w:pPr>
      <w:r>
        <w:t xml:space="preserve">2. entgegen Anhang V Nummer 5 Knochen oder nicht entbeintes Fleisch von Rindern, Schafen oder Ziegen für die Gewinnung von Separatorenfleisch verwendet,</w:t>
      </w:r>
    </w:p>
    <w:p>
      <w:pPr>
        <w:ind w:left="420"/>
      </w:pPr>
      <w:r>
        <w:t xml:space="preserve">3. entgegen Anhang V Nummer 6 das zentrale Nervengewebe bei Rindern, Schafen oder Ziegen nach dem Betäuben zerstört oder</w:t>
      </w:r>
    </w:p>
    <w:p>
      <w:pPr>
        <w:ind w:left="420"/>
      </w:pPr>
      <w:r>
        <w:t xml:space="preserve">4. als Verfügungsberechtigter über Schlachttiere entgegen Anhang V Nummer 7 Zungen von Rindern nicht durch einen Schnitt quer durch den Zungengrund vor dem Zungenfortsatz des Zungenbeinkörpers gewinnt.</w:t>
      </w:r>
    </w:p>
    <w:p>
      <w:r>
        <w:t xml:space="preserve">(2) Ordnungswidrig im Sinne des § 60 Absatz 4 Nummer 2 Buchstabe a des Lebensmittel- und Futtermittelgesetzbuches handelt, wer gegen die Verordnung (EG) Nr. 999/2001 verstößt, indem er als Verfügungsberechtigter über Schlachttiere vorsätzlich oder fahrlässig</w:t>
      </w:r>
    </w:p>
    <w:p>
      <w:pPr>
        <w:ind w:left="420"/>
      </w:pPr>
      <w:r>
        <w:t xml:space="preserve">1. entgegen Anhang V Nummer 8.1 Kopffleisch von Rindern nicht gemäß einem von der zuständigen Behörde anerkannten Kontrollsystem gewinnt oder</w:t>
      </w:r>
    </w:p>
    <w:p>
      <w:pPr>
        <w:ind w:left="420"/>
      </w:pPr>
      <w:r>
        <w:t xml:space="preserve">2. entgegen Anhang V Nummer 11.3 Satz 1 in Verbindung mit Satz 2 Buchstabe a oder b ein Kontrollsystem für die Entfernung der Wirbelsäule nicht oder nicht richtig einrichtet.</w:t>
      </w:r>
    </w:p>
    <w:p>
      <w:r>
        <w:rPr>
          <w:color w:val="555555"/>
          <w:sz w:val="17"/>
        </w:rPr>
        <w:t xml:space="preserve">Zitiervorschlag: § 1 LMRStV 2006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https://recht.nulegal.eu/gesetze/LMRStV%202006/1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