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LMIDV — (zu § 4a Absatz 1) Abbildung des Nutri-Score-Kennzeichens</w:t>
      </w:r>
    </w:p>
    <w:p>
      <w:r>
        <w:rPr>
          <w:color w:val="555555"/>
          <w:sz w:val="18"/>
        </w:rPr>
        <w:t xml:space="preserve">Lebensmittelinformations-Durchführungsverordnung</w:t>
      </w:r>
    </w:p>
    <w:p>
      <w:r>
        <w:rPr>
          <w:color w:val="555555"/>
          <w:sz w:val="18"/>
        </w:rPr>
        <w:t xml:space="preserve">Stand: 06.11.2020 (konsolidierte Textfassung, kein amtliches Inkrafttretensdatum)</w:t>
      </w:r>
    </w:p>
    <w:p>
      <w:r>
        <w:t xml:space="preserve">(Fundstelle: BGBl. I 2020, 2267)</w:t>
      </w:r>
    </w:p>
    <w:p>
      <w:r>
        <w:rPr>
          <w:color w:val="555555"/>
          <w:sz w:val="17"/>
        </w:rPr>
        <w:t xml:space="preserve">Zitiervorschlag: Anlage LMIDV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https://recht.nulegal.eu/gesetze/LMIDV/anlage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