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LMIDV — Übergangsvorschrift</w:t>
      </w:r>
    </w:p>
    <w:p>
      <w:r>
        <w:rPr>
          <w:color w:val="555555"/>
          <w:sz w:val="18"/>
        </w:rPr>
        <w:t xml:space="preserve">Lebensmittelinformations-Durchführungsverordnung</w:t>
      </w:r>
    </w:p>
    <w:p>
      <w:r>
        <w:rPr>
          <w:color w:val="555555"/>
          <w:sz w:val="18"/>
        </w:rPr>
        <w:t xml:space="preserve">Stand: 01.02.2024 (konsolidierte Textfassung, kein amtliches Inkrafttretensdatum)</w:t>
      </w:r>
    </w:p>
    <w:p>
      <w:r>
        <w:t xml:space="preserve">Fleischwaren, für die keine hinreichenden Informationen am 1. Februar 2024 für die Erfüllung der Anforderungen des § 4b Absatz 2 vorliegen, dürfen noch bis zum Aufbrauchen der Bestände in den Verkehr gebracht werden.</w:t>
      </w:r>
    </w:p>
    <w:p>
      <w:r>
        <w:rPr>
          <w:color w:val="555555"/>
          <w:sz w:val="17"/>
        </w:rPr>
        <w:t xml:space="preserve">Zitiervorschlag: § 7 LMIDV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https://recht.nulegal.eu/gesetze/LMIDV/7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