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LMIDV — Herkunftskennzeichnung bei nicht vorverpacktem frischem, gekühltem und gefrorenem Schweine-, Schaf-, Ziegen- und Geflügelfleisch</w:t>
      </w:r>
    </w:p>
    <w:p>
      <w:r>
        <w:rPr>
          <w:color w:val="555555"/>
          <w:sz w:val="18"/>
        </w:rPr>
        <w:t xml:space="preserve">Lebensmittelinformations-Durchführungsverordnung</w:t>
      </w:r>
    </w:p>
    <w:p>
      <w:r>
        <w:rPr>
          <w:color w:val="555555"/>
          <w:sz w:val="18"/>
        </w:rPr>
        <w:t xml:space="preserve">Stand: 14.06.2026 (konsolidierte Textfassung, kein amtliches Inkrafttretensdatum)</w:t>
      </w:r>
    </w:p>
    <w:p>
      <w:r>
        <w:t xml:space="preserve">(1) Für diese Verordnung gelten</w:t>
      </w:r>
    </w:p>
    <w:p>
      <w:pPr>
        <w:ind w:left="420"/>
      </w:pPr>
      <w:r>
        <w:t xml:space="preserve">1. für die Begriffe „Hackfleisch/Faschiertes“, „Schlachthof“ und „Zerlegungsbetrieb“ die Begriffsbestimmungen in Anhang I Nummer 1.13, 1.16 und 1.17 der Verordnung (EG) Nr. 853/2004 in der Fassung vom 29. April 2004 und</w:t>
      </w:r>
    </w:p>
    <w:p>
      <w:pPr>
        <w:ind w:left="420"/>
      </w:pPr>
      <w:r>
        <w:t xml:space="preserve">2. für die Begriffe „Fleischabschnitte“ und „Partie“ die Begriffsbestimmungen in Artikel 2 Absatz 2 Buchstabe a und b der Durchführungsverordnung (EU) Nr. 1337/2013 in der Fassung vom 13. Dezember 2013.</w:t>
      </w:r>
    </w:p>
    <w:p>
      <w:r>
        <w:t xml:space="preserve">(2) Frisches, gekühltes und gefrorenes Schweine-, Schaf-, Ziegen- und Geflügelfleisch, das ein Lebensmittel im Sinne des § 4 Absatz 2 Satz 1 ist, darf durch den Verantwortlichen nach Artikel 8 Absatz 1 oder Absatz 4 Satz 2 der Verordnung (EU) Nr. 1169/2011 mit dem Ziel der Abgabe an Endverbraucher oder an Anbieter von Gemeinschaftsverpflegung nur in den Verkehr gebracht werden oder durch den Verantwortlichen nach Artikel 8 Absatz 3 der Verordnung (EU) Nr. 1169/2011 nur abgegeben werden, wenn die Herkunft gemäß</w:t>
      </w:r>
    </w:p>
    <w:p>
      <w:pPr>
        <w:ind w:left="420"/>
      </w:pPr>
      <w:r>
        <w:t xml:space="preserve">1. Artikel 5 Absatz 1 Unterabsatz 1 Buchstabe a und b, Unterabsatz 2 und 3, Absatz 2 und 3 Buchstabe a,</w:t>
      </w:r>
    </w:p>
    <w:p>
      <w:pPr>
        <w:ind w:left="420"/>
      </w:pPr>
      <w:r>
        <w:t xml:space="preserve">2. Artikel 6 oder</w:t>
      </w:r>
    </w:p>
    <w:p>
      <w:pPr>
        <w:ind w:left="420"/>
      </w:pPr>
      <w:r>
        <w:t xml:space="preserve">3. Artikel 7</w:t>
      </w:r>
    </w:p>
    <w:p>
      <w:r>
        <w:t xml:space="preserve">der Durchführungsverordnung (EU) Nr. 1337/2013 in der Fassung vom 13. Dezember 2013 gekennzeichnet wird. Die Kennzeichnung hat nach Maßgabe des § 4 Absatz 3 zu erfolgen. Wird überwiegend Fleisch mit der gleichen Herkunft abgegeben, kann die Angabe auch durch eine allgemeine Erklärung an gut sichtbarer Stelle erfolgen. Auf die Möglichkeit abweichender Herkünfte ist hinzuweisen. Fleisch, dessen Herkunft nicht mit der überwiegenden Herkunft übereinstimmt, ist gesondert nach Maßgabe der Sätze 1 und 2 zu kennzeichnen.</w:t>
      </w:r>
    </w:p>
    <w:p>
      <w:r>
        <w:t xml:space="preserve">(3) Für Lebensmittel im Sinne des § 4 Absatz 2 Satz 1 Nummer 1 bis 3 muss der Verantwortliche nach Artikel 8 Absatz 1 oder Absatz 4 Satz 2 der Verordnung (EU) Nr. 1169/2011 die zur Kennzeichnung nach Absatz 2 genannten Angaben bereithalten und zusammen mit dem Fleisch an die Unternehmer in den nachfolgenden Produktions- und Vertriebsstufen übermitteln.</w:t>
      </w:r>
    </w:p>
    <w:p>
      <w:r>
        <w:rPr>
          <w:color w:val="555555"/>
          <w:sz w:val="17"/>
        </w:rPr>
        <w:t xml:space="preserve">Zitiervorschlag: § 4b LMIDV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https://recht.nulegal.eu/gesetze/LMIDV/4b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