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4a LMIDV — Erweiterte Nährwertkennzeichnung</w:t>
      </w:r>
    </w:p>
    <w:p>
      <w:r>
        <w:rPr>
          <w:color w:val="555555"/>
          <w:sz w:val="18"/>
        </w:rPr>
        <w:t xml:space="preserve">Lebensmittelinformations-Durchführungsverordnung</w:t>
      </w:r>
    </w:p>
    <w:p>
      <w:r>
        <w:rPr>
          <w:color w:val="555555"/>
          <w:sz w:val="18"/>
        </w:rPr>
        <w:t xml:space="preserve">Stand: 06.11.2020 (konsolidierte Textfassung, kein amtliches Inkrafttretensdatum)</w:t>
      </w:r>
    </w:p>
    <w:p>
      <w:r>
        <w:t xml:space="preserve">(1) Der Verantwortliche nach Artikel 8 Absatz 1 oder Absatz 4 Satz 2 der Verordnung (EU) Nr. 1169/2011 darf Lebensmittel mit dem in der Anlage abgebildeten Nutri-Score-Kennzeichen, das als Gemeinschaftskollektivmarke beim Amt der Europäischen Union für geistiges Eigentum eingetragen ist, in den Verkehr bringen.</w:t>
      </w:r>
    </w:p>
    <w:p>
      <w:r>
        <w:t xml:space="preserve">(2) Die Nutzung des Nutri-Score-Kennzeichens ist freiwillig.</w:t>
      </w:r>
    </w:p>
    <w:p>
      <w:r>
        <w:t xml:space="preserve">(3) Die Nutzung des Nutri-Score-Kennzeichens setzt voraus, dass der Verantwortliche nach Artikel 8 Absatz 1 oder Absatz 4 Satz 2 der Verordnung (EU) Nr. 1169/2011 insbesondere</w:t>
      </w:r>
    </w:p>
    <w:p>
      <w:pPr>
        <w:ind w:left="420"/>
      </w:pPr>
      <w:r>
        <w:t xml:space="preserve">1. die erforderlichen Einwilligungen des Markeninhabers eingeholt hat und</w:t>
      </w:r>
    </w:p>
    <w:p>
      <w:pPr>
        <w:ind w:left="420"/>
      </w:pPr>
      <w:r>
        <w:t xml:space="preserve">2. die Bedingungen des Markeninhabers für die Nutzung der Marke einhält.</w:t>
      </w:r>
    </w:p>
    <w:p>
      <w:r>
        <w:t xml:space="preserve">(4) Für die Einholung der Einwilligungen nach Absatz 3 Nummer 1 kann das Bundesministerium für Ernährung und Landwirtschaft Folgendes im Bundesanzeiger veröffentlichen:</w:t>
      </w:r>
    </w:p>
    <w:p>
      <w:pPr>
        <w:ind w:left="420"/>
      </w:pPr>
      <w:r>
        <w:t xml:space="preserve">1. Musterformulare in deutscher Sprache,</w:t>
      </w:r>
    </w:p>
    <w:p>
      <w:pPr>
        <w:ind w:left="420"/>
      </w:pPr>
      <w:r>
        <w:t xml:space="preserve">2. Eingabedaten in deutscher Sprache und eine E-Mail-Adresse, die so eingestellt ist, dass dort eingehende E-Mails automatisch an den Markeninhaber weitergeleitet werden.</w:t>
      </w:r>
    </w:p>
    <w:p>
      <w:r>
        <w:rPr>
          <w:color w:val="555555"/>
          <w:sz w:val="17"/>
        </w:rPr>
        <w:t xml:space="preserve">Zitiervorschlag: § 4a LMIDV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https://recht.nulegal.eu/gesetze/LMIDV/4a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