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LMIDV — Anwendungsbereich</w:t>
      </w:r>
    </w:p>
    <w:p>
      <w:r>
        <w:rPr>
          <w:color w:val="555555"/>
          <w:sz w:val="18"/>
        </w:rPr>
        <w:t xml:space="preserve">Lebensmittelinformations-Durchführungsverordnung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Diese Verordnung ergänzt die Regelungen der Verordnung (EU) Nr. 1169/2011 des Europäischen Parlaments und des Rates vom 25. Oktober 2011 betreffend die Information der Verbraucher über Lebensmittel und zur Änderung der Verordnungen (EG) Nr. 1924/2006 und (EG) Nr. 1925/2006 des Europäischen Parlaments und des Rates und zur Aufhebung der Richtlinie 87/250/EWG der Kommission, der Richtlinie 90/496/EWG des Rates, der Richtlinie 1999/10/EG der Kommission, der Richtlinie 2000/13/EG des Europäischen Parlaments und des Rates, der Richtlinien 2002/67/EG und 2008/5/EG der Kommission und der Verordnung (EG) Nr. 608/2004 der Kommission (ABl. L 304 vom 22.11.2011, S. 18; L 331 vom 18.11.2014, S. 41; L 50 vom 21.2.2015, S. 48; L 266 vom 30.9.2016, S. 7) und die Regelungen der auf sie gestützten Rechtsakte der Europäischen Union über</w:t>
      </w:r>
    </w:p>
    <w:p>
      <w:pPr>
        <w:ind w:left="420"/>
      </w:pPr>
      <w:r>
        <w:t xml:space="preserve">1. die Kennzeichnung von Lebensmitteln, die bestimmt sind zur Abgabe an</w:t>
      </w:r>
    </w:p>
    <w:p>
      <w:pPr>
        <w:ind w:left="780"/>
      </w:pPr>
      <w:r>
        <w:t xml:space="preserve">a) Endverbraucher im Sinne des Artikels 3 Nummer 18 der Verordnung (EG) Nr. 178/2002 oder</w:t>
      </w:r>
    </w:p>
    <w:p>
      <w:pPr>
        <w:ind w:left="780"/>
      </w:pPr>
      <w:r>
        <w:t xml:space="preserve">b) Anbieter von Gemeinschaftsverpflegung im Sinne des Artikels 2 Absatz 2 Buchstabe d der Verordnung (EU) Nr. 1169/2011 und</w:t>
      </w:r>
    </w:p>
    <w:p>
      <w:pPr>
        <w:ind w:left="420"/>
      </w:pPr>
      <w:r>
        <w:t xml:space="preserve">2. die Weitergabe von Angaben an andere Lebensmittelunternehmer bei der Lieferung von Lebensmitteln, die nicht für die Abgabe an Endverbraucher oder Anbieter von Gemeinschaftsverpflegung bestimmt sind.</w:t>
      </w:r>
    </w:p>
    <w:p>
      <w:r>
        <w:t xml:space="preserve">(2) Diese Verordnung gilt nicht, soweit in besonderen Rechtsvorschriften Kennzeichnungsvorschriften im Sinne des Absatzes 1 geregelt sind.</w:t>
      </w:r>
    </w:p>
    <w:p>
      <w:r>
        <w:rPr>
          <w:color w:val="555555"/>
          <w:sz w:val="17"/>
        </w:rPr>
        <w:t xml:space="preserve">Zitiervorschlag: § 1 LMIDV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https://recht.nulegal.eu/gesetze/LMIDV/1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