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LMHV 2007 — Zulassung zur Ausfuhr</w:t>
      </w:r>
    </w:p>
    <w:p>
      <w:r>
        <w:rPr>
          <w:color w:val="555555"/>
          <w:sz w:val="18"/>
        </w:rPr>
        <w:t xml:space="preserve">Lebensmittelhygiene-Verordnung</w:t>
      </w:r>
    </w:p>
    <w:p>
      <w:r>
        <w:rPr>
          <w:color w:val="555555"/>
          <w:sz w:val="18"/>
        </w:rPr>
        <w:t xml:space="preserve">Stand: 10.06.2019 (konsolidierte Textfassung, kein amtliches Inkrafttretensdatum)</w:t>
      </w:r>
    </w:p>
    <w:p>
      <w:r>
        <w:t xml:space="preserve">(1) Soweit ein Drittland die Einfuhr von Lebensmitteln von einer besonderen Zulassung abhängig macht, erteilt die zuständige Behörde im Rahmen der Durchführung des Artikels 12 Absatz 1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EG Nr. L 31 S. 1) auf Antrag Betrieben, die Lebensmittel herstellen, be- oder verarbeiten, eine Zulassung zur Ausfuhr.</w:t>
      </w:r>
    </w:p>
    <w:p>
      <w:r>
        <w:t xml:space="preserve">(2) Die Zulassung nach Absatz 1 ist zu erteilen, wenn der Betrieb die allgemeinen und besonderen Anforderungen des Drittlandes an die Einfuhr erfüllt und der Antrag stellende Lebensmittelunternehmer die Einhaltung der hygienischen Anforderungen des Drittlandes zusichert, die sich auf die Herstellung, Be- oder Verarbeitung der Lebensmittel, betriebseigene Kontrollen, besondere amtliche Untersuchungen oder sonstige amtliche Überwachungen beziehen.</w:t>
      </w:r>
    </w:p>
    <w:p>
      <w:r>
        <w:t xml:space="preserve">(3) Die Zulassung nach Absatz 1 kann unter Vergabe einer Zulassungsnummer erteilt werden. Sie kann unter dem Vorbehalt erteilt werden, dass die Zulassung widerrufen werden kann, wenn der Betrieb die Anforderungen nach Absatz 2 nicht erfüllt. Im Übrigen bleiben die verwaltungsverfahrensrechtlichen Vorschriften über Rücknahme und Widerruf unberührt.</w:t>
      </w:r>
    </w:p>
    <w:p>
      <w:r>
        <w:rPr>
          <w:color w:val="555555"/>
          <w:sz w:val="17"/>
        </w:rPr>
        <w:t xml:space="preserve">Zitiervorschlag: § 9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