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LMHV 2007 — Schulung</w:t>
      </w:r>
    </w:p>
    <w:p>
      <w:r>
        <w:rPr>
          <w:color w:val="555555"/>
          <w:sz w:val="18"/>
        </w:rPr>
        <w:t xml:space="preserve">Lebensmittelhygiene-Verordnung</w:t>
      </w:r>
    </w:p>
    <w:p>
      <w:r>
        <w:rPr>
          <w:color w:val="555555"/>
          <w:sz w:val="18"/>
        </w:rPr>
        <w:t xml:space="preserve">Stand: 10.06.2019 (konsolidierte Textfassung, kein amtliches Inkrafttretensdatum)</w:t>
      </w:r>
    </w:p>
    <w:p>
      <w:r>
        <w:t xml:space="preserve">(1) Leicht verderbliche Lebensmittel dürfen nur von Personen hergestellt, behandelt oder in den Verkehr gebracht werden, die auf Grund einer Schulung nach Anhang II Kapitel XII Nummer 1 der Verordnung (EG) Nr. 852/2004 über ihrer jeweiligen Tätigkeit entsprechende Fachkenntnisse auf den in Anlage 1 genannten Sachgebieten verfügen. Die Fachkenntnisse nach Satz 1 sind auf Verlangen der zuständigen Behörde nachzuweisen. Satz 1 gilt nicht, soweit ausschließlich verpackte Lebensmittel gewogen, gemessen, gestempelt, bedruckt oder in den Verkehr gebracht werden. Satz 1 gilt nicht für die Primärproduktion und die Abgabe kleiner Mengen von Primärerzeugnissen nach § 5.</w:t>
      </w:r>
    </w:p>
    <w:p>
      <w:r>
        <w:t xml:space="preserve">(2) Bei Personen, die eine wissenschaftliche Ausbildung oder eine Berufsausbildung abgeschlossen haben, in der Kenntnisse und Fertigkeiten auf dem Gebiet des Verkehrs mit Lebensmitteln einschließlich der Lebensmittelhygiene vermittelt werden, wird vermutet, dass sie für eine der jeweiligen Ausbildung entsprechende Tätigkeit</w:t>
      </w:r>
    </w:p>
    <w:p>
      <w:pPr>
        <w:ind w:left="420"/>
      </w:pPr>
      <w:r>
        <w:t xml:space="preserve">1. nach Anhang II Kapitel XII Nummer 1 der Verordnung (EG) Nr. 852/2004 in Fragen der Lebensmittelhygiene geschult sind und</w:t>
      </w:r>
    </w:p>
    <w:p>
      <w:pPr>
        <w:ind w:left="420"/>
      </w:pPr>
      <w:r>
        <w:t xml:space="preserve">2. über nach Absatz 1 erforderliche Fachkenntnisse verfügen.</w:t>
      </w:r>
    </w:p>
    <w:p>
      <w:r>
        <w:rPr>
          <w:color w:val="555555"/>
          <w:sz w:val="17"/>
        </w:rPr>
        <w:t xml:space="preserve">Zitiervorschlag: § 4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