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LMHV 2007 — Begriffsbestimmungen</w:t>
      </w:r>
    </w:p>
    <w:p>
      <w:r>
        <w:rPr>
          <w:color w:val="555555"/>
          <w:sz w:val="18"/>
        </w:rPr>
        <w:t xml:space="preserve">Lebensmittelhygiene-Verordnung</w:t>
      </w:r>
    </w:p>
    <w:p>
      <w:r>
        <w:rPr>
          <w:color w:val="555555"/>
          <w:sz w:val="18"/>
        </w:rPr>
        <w:t xml:space="preserve">Stand: 10.06.2019 (konsolidierte Textfassung, kein amtliches Inkrafttretensdatum)</w:t>
      </w:r>
    </w:p>
    <w:p>
      <w:r>
        <w:t xml:space="preserve">(1) Im Sinne dieser Verordnung sind</w:t>
      </w:r>
    </w:p>
    <w:p>
      <w:pPr>
        <w:ind w:left="420"/>
      </w:pPr>
      <w:r>
        <w:t xml:space="preserve">1. nachteilige Beeinflussung: eine Ekel erregende oder sonstige Beeinträchtigung der einwandfreien hygienischen Beschaffenheit von Lebensmitteln, wie durch Mikroorganismen, Verunreinigungen, Witterungseinflüsse, Gerüche, Temperaturen, Gase, Dämpfe, Rauch, Aerosole, tierische Schädlinge, menschliche und tierische Ausscheidungen sowie durch Abfälle, Abwässer, Reinigungsmittel, Pflanzenschutzmittel, Tierarzneimittel, Biozid-Produkte oder ungeeignete Behandlungs- und Zubereitungsverfahren,</w:t>
      </w:r>
    </w:p>
    <w:p>
      <w:pPr>
        <w:ind w:left="420"/>
      </w:pPr>
      <w:r>
        <w:t xml:space="preserve">2. leicht verderbliches Lebensmittel: ein Lebensmittel, das in mikrobiologischer Hinsicht in kurzer Zeit leicht verderblich ist und dessen Verkehrsfähigkeit nur bei Einhaltung bestimmter Temperaturen oder sonstiger Bedingungen erhalten werden kann,</w:t>
      </w:r>
    </w:p>
    <w:p>
      <w:pPr>
        <w:ind w:left="420"/>
      </w:pPr>
      <w:r>
        <w:t xml:space="preserve">3. Erlegen: Töten von Groß- und Kleinwild nach jagdrechtlichen Vorschriften.</w:t>
      </w:r>
    </w:p>
    <w:p>
      <w:r>
        <w:t xml:space="preserve">(2) Im Übrigen gelten die Begriffsbestimmungen des</w:t>
      </w:r>
    </w:p>
    <w:p>
      <w:pPr>
        <w:ind w:left="420"/>
      </w:pPr>
      <w:r>
        <w:t xml:space="preserve">1. Artikels 2 Absatz 1 der Verordnung (EG) Nr. 852/2004 des Europäischen Parlaments und des Rates vom 29. April 2004 über Lebensmittelhygiene (ABl. L 139 vom 30.4.2004, S. 1; L 226 vom 25.6.2004, S. 3; L 204 vom 4.8.2007, S. 26; L 46 vom 21.2.2008, S. 51; L 58 vom 3.3.2009, S. 3), die zuletzt durch die Verordnung (EG) Nr. 219/2009 (ABl. L 87 vom 31.3.2009, S. 109) geändert worden ist, und</w:t>
      </w:r>
    </w:p>
    <w:p>
      <w:pPr>
        <w:ind w:left="420"/>
      </w:pPr>
      <w:r>
        <w:t xml:space="preserve">2. Anhangs I der Verordnung (EG) Nr. 853/2004 des Europäischen Parlaments und des Rates vom 29. April 2004 mit spezifischen Hygienevorschriften für Lebensmittel tierischen Ursprungs (ABl. L 139 vom 30.4.2004, S. 55; L 226 vom 25.6.2004, S. 22; L 204 vom 4.8.2007, S. 26; L 46 vom 21.2.2008, S. 50; L 119 vom 13.5.2010, S. 26; L 160 vom 12.6.2013, S. 15; L 66 vom 11.3.2015, S. 22), die zuletzt durch die Verordnung (EU) 2016/355 (ABl. L 67 vom 12.3.2016, S. 22) geändert worden ist,</w:t>
      </w:r>
    </w:p>
    <w:p>
      <w:r>
        <w:t xml:space="preserve">entsprechend.</w:t>
      </w:r>
    </w:p>
    <w:p>
      <w:r>
        <w:rPr>
          <w:color w:val="555555"/>
          <w:sz w:val="17"/>
        </w:rPr>
        <w:t xml:space="preserve">Zitiervorschlag: § 2 LMHV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https://recht.nulegal.eu/gesetze/LMHV%202007/2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