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LMHV 2007 — Anwendungsbereich</w:t>
      </w:r>
    </w:p>
    <w:p>
      <w:r>
        <w:rPr>
          <w:color w:val="555555"/>
          <w:sz w:val="18"/>
        </w:rPr>
        <w:t xml:space="preserve">Lebensmittelhygiene-Verordnung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dient der Regelung spezifischer lebensmittelhygienischer Fragen sowie der Umsetzung und Durchführung von Rechtsakten der Europäischen Gemeinschaft oder der Europäischen Union auf dem Gebiet der Lebensmittelhygiene.</w:t>
      </w:r>
    </w:p>
    <w:p>
      <w:r>
        <w:rPr>
          <w:color w:val="555555"/>
          <w:sz w:val="17"/>
        </w:rPr>
        <w:t xml:space="preserve">Zitiervorschlag: § 1 LMHV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https://recht.nulegal.eu/gesetze/LMHV%202007/1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