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LMEV — Durchfuhr</w:t>
      </w:r>
    </w:p>
    <w:p>
      <w:r>
        <w:rPr>
          <w:color w:val="555555"/>
          <w:sz w:val="18"/>
        </w:rPr>
        <w:t xml:space="preserve">Lebensmitteleinfuhr-Verordnung</w:t>
      </w:r>
    </w:p>
    <w:p>
      <w:r>
        <w:rPr>
          <w:color w:val="555555"/>
          <w:sz w:val="18"/>
        </w:rPr>
        <w:t xml:space="preserve">Historische Fassung: Stand 10.06.2019 bis 20.04.2024. Dies ist nicht die aktuelle Fassung.</w:t>
      </w:r>
    </w:p>
    <w:p>
      <w:r>
        <w:t xml:space="preserve">(1) Sendungen von Lebensmitteln tierischen Ursprungs, zusammengesetzten Lebensmitteln oder lebenden Tieren im Sinne des § 4 Absatz 1 Nummer 1 des Lebensmittel- und Futtermittelgesetzbuches, die nicht den lebensmittelrechtlichen Anforderungen entsprechen oder bei der Anzeige nach Artikel 2 der Verordnung (EG) Nr. 136/2004 zur Durchfuhr angezeigt worden sind, dürfen, unbeschadet der tierseuchenrechtlichen Vorschriften, zum Zwecke der Durchfuhr in das Inland nur verbracht werden, sofern sie einer Dokumentenprüfung nach Anhang I der Verordnung (EG) Nr. 136/2004 und einer Nämlichkeitskontrolle nach Anlage 3 unterzogen worden sind. Abweichend von Satz 1 dürfen Sendungen der dort genannten Lebensmittel zum Zwecke der Durchfuhr in das Inland verbracht werden, wenn die Sendungen in einem anderen Mitgliedstaat, in einem EFTA-Staat, auf den Färöer Inseln oder, im Fall von Fischereierzeugnissen und lebenden Muscheln, Stachelhäutern, Manteltieren sowie Meeresschnecken, auf Grönland einer Durchfuhrkontrolle entsprechend den jeweiligen nationalen Rechtsvorschriften unterzogen worden sind. Die für die Eingangsgrenzkontrollstelle zuständige Behörde hat bei den zur Durchfuhr angezeigten Sendungen zusätzlich eine Warenuntersuchung nach § 7 Absatz 1 durchzuführen, sofern Gründe des Gesundheitsschutzes oder ein begründeter Verdacht auf einen Verstoß gegen lebensmittelrechtliche Bestimmungen es erfordern.</w:t>
      </w:r>
    </w:p>
    <w:p>
      <w:r>
        <w:t xml:space="preserve">(2) Nach Abschluss der Prüfungen nach Absatz 1 sind die Sendungen unter Einhaltung der Anforderungen des Absatzes 3</w:t>
      </w:r>
    </w:p>
    <w:p>
      <w:pPr>
        <w:ind w:left="420"/>
      </w:pPr>
      <w:r>
        <w:t xml:space="preserve">1. innerhalb eines Zeitraumes von höchstens 30 Tagen über eine Grenzkontrollstelle (Ausgangsgrenzkontrollstelle) in ein Drittland zu verbringen oder</w:t>
      </w:r>
    </w:p>
    <w:p>
      <w:pPr>
        <w:ind w:left="420"/>
      </w:pPr>
      <w:r>
        <w:t xml:space="preserve">2. in ein nach § 12 Absatz 1 anerkanntes oder nach § 12 Absatz 2 registriertes Lager im Inland oder in ein von der zuständigen Behörde eines Mitgliedstaates, eines EFTA-Staates, der Färöer Inseln oder Grönlands nach nationalen Rechtsvorschriften zur Umsetzung des Artikels 12 Absatz 4 Buchstabe b oder des Artikels 13 Absatz 1 Buchstabe a der Richtlinie 97/78/EG anerkanntes oder zugelassenes Lager zu transportieren und einzulagern.</w:t>
      </w:r>
    </w:p>
    <w:p>
      <w:r>
        <w:t xml:space="preserve">Soweit die Durchfuhr von Sendungen nach § 13 Absatz 1 Satz 1 verboten oder beschränkt ist oder die Dokumentenprüfung oder die Nämlichkeitskontrolle zur Durchfuhr bestimmter Sendungen sonst Anlass zu Beanstandungen gibt, kann die für die Grenzkontrollstelle zuständige Behörde dem Absender, dem Empfänger oder ihren jeweiligen Bevollmächtigten gestatten, die Sendung binnen 60 Tagen an einen von diesen Personen benannten Bestimmungsort außerhalb der Europäischen Union zurückzuverbringen, sofern gesundheitliche Bedenken nicht entgegenstehen. Ansonsten sind die Lebensmittel der Beseitigung zuzuführen. Wenn die Sendung zurückverbracht werden soll, hat die für die Grenzkontrollstelle zuständige Behörde das Informationsverfahren nach Artikel 3 Absatz 3 der Entscheidung 2004/292/EG in der jeweils geltenden Fassung einzuleiten. Die Originale der die Sendung begleitenden Dokumente sind mit einem Stempelaufdruck in roter Farbe mit dem Wort „zurückgewiesen“ zu kennzeichnen.</w:t>
      </w:r>
    </w:p>
    <w:p>
      <w:r>
        <w:t xml:space="preserve">(3) Wer Sendungen nach Absatz 1 befördert, hat diese</w:t>
      </w:r>
    </w:p>
    <w:p>
      <w:pPr>
        <w:ind w:left="420"/>
      </w:pPr>
      <w:r>
        <w:t xml:space="preserve">1. im externen Unionsversandverfahren nach der Verordnung (EU) Nr. 952/2013 des Europäischen Parlaments und des Rates vom 9. Oktober 2013 zur Festlegung des Zollkodex der Union (ABl. L 269 vom 10.10.2013, S. 1),</w:t>
      </w:r>
    </w:p>
    <w:p>
      <w:pPr>
        <w:ind w:left="420"/>
      </w:pPr>
      <w:r>
        <w:t xml:space="preserve">2. ohne Umladung oder Teilung und</w:t>
      </w:r>
    </w:p>
    <w:p>
      <w:pPr>
        <w:ind w:left="420"/>
      </w:pPr>
      <w:r>
        <w:t xml:space="preserve">3. in amtlich verplombten, lecksicheren Fahrzeugen oder Behältnissen, die, sofern erforderlich, nach näherer Anweisung der zuständigen Behörde nach ihrer Verwendung zu reinigen und desinfizieren sind,</w:t>
      </w:r>
    </w:p>
    <w:p>
      <w:r>
        <w:t xml:space="preserve">zu transportieren und ihnen das Gemeinsame Veterinärdokument für die Einfuhr im Original beizufügen.</w:t>
      </w:r>
    </w:p>
    <w:p>
      <w:r>
        <w:t xml:space="preserve">(4) Im Falle des Absatzes 2 Satz 1 Nummer 1 hat die für die Grenzkontrollstelle zuständige Behörde, über die die Sendung ins Inland verbracht worden ist (Eingangsgrenzkontrollstelle), die für die Ausgangsgrenzkontrollstelle zuständige Behörde über den Transport zu unterrichten. Die für die Ausgangsgrenzkontrollstelle zuständige Behörde hat zu überprüfen, ob die Sendung nach Absatz 1 den Angaben des Gemeinsamen Veterinärdokumentes für die Einfuhr entspricht und zu bescheinigen, dass die Sendung das Inland verlassen hat. Sie hat darüber die für die Eingangsgrenzkontrollstelle zuständige Behörde zu unterrichten. Liegt binnen 30 Tagen nach Versand der Sendung keine Mitteilung über den Ausgang der Sendung vor, so hat die für die Eingangsgrenzkontrollstelle zuständige Behörde die zuständige Zollbehörde um Nachforschungen über den weiteren Verbleib der Sendung zu ersuchen.</w:t>
      </w:r>
    </w:p>
    <w:p>
      <w:r>
        <w:t xml:space="preserve">(5) Abweichend von den Absätzen 1 bis 4 kann die für die Eingangsgrenzkontrollstelle zuständige Behörde im Luft- und Seeverkehr bei der Durchfuhr von Sendungen, die innerhalb des in § 7 Absatz 2 Satz 2 genannten Zeitraums unmittelbar in ein anderes Flugzeug oder Schiff umgeladen werden und dazu bestimmt sind, ohne weiteren Zwischenhalt in den in Anhang I der Richtlinie 97/78/EG genannten Gebieten in ein Drittland verbracht zu werden, vorschreiben, dass der für den Transport Verantwortliche die für die Eingangsgrenzkontrollstelle zuständige Behörde unverzüglich in der von ihr bestimmten Weise über den Entladezeitpunkt und -ort zu unterrichten hat. Abweichend von Satz 1 gilt für die Grenzkontrollstellen Hamburg (Hafen), Bremen-Standort Bremerhaven und JadeWeserPort Wilhelmshaven (Hafen) zuständigen Behörden anstelle des in § 7 Absatz 2 Satz 2 genannten Zeitraumes ein Zeitraum von weniger als 14 Tagen. Die für die Eingangsgrenzkontrollstelle zuständige Behörde hat eine Dokumentenprüfung, auch anhand beglaubigter Kopien, und eine Nämlichkeitskontrolle nach Absatz 1 Satz 1 durchführen, sofern Gründe des Gesundheitsschutzes es erfordern. Absatz 1 Satz 3 gilt entsprechend.</w:t>
      </w:r>
    </w:p>
    <w:p>
      <w:r>
        <w:t xml:space="preserve">(6) In den Fällen des Absatzes 2 Satz 1 Nummer 2 hat die für die Grenzkontrollstelle zuständige Behörde den Transport und die Einlagerung von Sendungen nur zu gestatten, wenn die für das Lager nach Absatz 2 Satz 1 Nummer 2 zuständige Behörde die Einlagerung von Sendungen im Sinne des Absatzes 1 genehmigt hat. Die für die Grenzkontrollstelle zuständige Behörde hat die für das Lager zuständige Behörde über den Transport der Sendung über das Informationsverfahren nach Artikel 3 der Entscheidung 2004/292/EG zu unterrichten. Der Beteiligte hat das Eintreffen der Sendung der für das Lager zuständigen Behörde anhand des Gemeinsamen Veterinärdokumentes für die Einfuhr anzuzeigen. Absatz 4 Satz 4 gilt entsprechend.</w:t>
      </w:r>
    </w:p>
    <w:p>
      <w:r>
        <w:rPr>
          <w:color w:val="555555"/>
          <w:sz w:val="17"/>
        </w:rPr>
        <w:t xml:space="preserve">Zitiervorschlag: § 9 LMEV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https://recht.nulegal.eu/gesetze/LMEV/9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