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LMEV — Einfuhr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(1) Sendungen von Lebensmitteln tierischen Ursprungs, zusammengesetzten Lebensmitteln oder lebenden Tieren im Sinne des § 4 Absatz 1 Nummer 1 des Lebensmittel- und Futtermittelgesetzbuches dürfen aus Drittländern nur eingeführt werden, wenn sie</w:t>
      </w:r>
    </w:p>
    <w:p>
      <w:pPr>
        <w:ind w:left="420"/>
      </w:pPr>
      <w:r>
        <w:t xml:space="preserve">1. einer Einfuhruntersuchung nach § 7 Absatz 1 oder 2 Satz 1, 3 oder 4 unterzogen worden sind und</w:t>
      </w:r>
    </w:p>
    <w:p>
      <w:pPr>
        <w:ind w:left="420"/>
      </w:pPr>
      <w:r>
        <w:t xml:space="preserve">2. über eine in einer nach Artikel 6 Absatz 4 der Richtlinie 97/78/EG des Rates vom 18. Dezember 1997 zur Festlegung von Grundregeln für die Veterinärkontrollen von aus Drittländern in die Gemeinschaft eingeführten Erzeugnissen (ABl. L 24 vom 30.1.1998, S. 9) von der Kommission der Europäischen Gemeinschaft oder der Europäischen Kommission im Amtsblatt der Europäischen Union veröffentlichten Liste aufgeführte Grenzkontrollstelle in das Inland verbracht werden.</w:t>
      </w:r>
    </w:p>
    <w:p>
      <w:r>
        <w:t xml:space="preserve">(2) Absatz 1 gilt nicht im Falle</w:t>
      </w:r>
    </w:p>
    <w:p>
      <w:pPr>
        <w:ind w:left="420"/>
      </w:pPr>
      <w:r>
        <w:t xml:space="preserve">1. von Lebensmitteln, die in einem anderen Mitgliedstaat, in einem EFTA-Staat, auf den Färöer Inseln oder, im Falle von Fischereierzeugnissen und lebenden Muscheln, Stachelhäutern, Manteltieren sowie Meeresschnecken, auf Grönland einer Einfuhruntersuchung entsprechend den jeweiligen nationalen Rechtsvorschriften unterzogen worden sind,</w:t>
      </w:r>
    </w:p>
    <w:p>
      <w:pPr>
        <w:ind w:left="420"/>
      </w:pPr>
      <w:r>
        <w:t xml:space="preserve">2. von Fischereierzeugnissen und lebenden Muscheln, Stachelhäutern, Manteltieren sowie Meeresschnecken mit Ursprung aus Grönland und</w:t>
      </w:r>
    </w:p>
    <w:p>
      <w:pPr>
        <w:ind w:left="420"/>
      </w:pPr>
      <w:r>
        <w:t xml:space="preserve">3. der in Anlage 1 genannten Lebensmittel.</w:t>
      </w:r>
    </w:p>
    <w:p>
      <w:r>
        <w:t xml:space="preserve">(3) Die Grenzkontrollstellen nach Absatz 1 Nummer 2 sind von den zuständigen Behörden im Benehmen mit der Generalzolldirektion zu bestimmen. Sie sind von einem amtlichen Tierarzt zu leiten.</w:t>
      </w:r>
    </w:p>
    <w:p>
      <w:r>
        <w:rPr>
          <w:color w:val="555555"/>
          <w:sz w:val="17"/>
        </w:rPr>
        <w:t xml:space="preserve">Zitiervorschlag: § 5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