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LMEV — Verfahren bei der Anzeige</w:t>
      </w:r>
    </w:p>
    <w:p>
      <w:r>
        <w:rPr>
          <w:color w:val="555555"/>
          <w:sz w:val="18"/>
        </w:rPr>
        <w:t xml:space="preserve">Lebensmitteleinfuhr-Verordnung</w:t>
      </w:r>
    </w:p>
    <w:p>
      <w:r>
        <w:rPr>
          <w:color w:val="555555"/>
          <w:sz w:val="18"/>
        </w:rPr>
        <w:t xml:space="preserve">Historische Fassung: Stand 10.06.2019 bis 20.04.2024. Dies ist nicht die aktuelle Fassung.</w:t>
      </w:r>
    </w:p>
    <w:p>
      <w:r>
        <w:t xml:space="preserve">Wer zur Anzeige nach Artikel 2 Absatz 1 der Verordnung (EG) Nr. 136/2004 verpflichtet ist, hat diese Anzeige mindestens einen Werktag vor Eintreffen der Sendung an der Grenzkontrollstelle zu übermitteln. Abweichend von Satz 1 kann die für die Grenzkontrollstelle zuständige Behörde eine spätere Anzeige noch als fristgerecht anerkennen, soweit dadurch die ordnungsgemäße Durchführung der Einfuhruntersuchung nach § 7 nicht behindert wird.</w:t>
      </w:r>
    </w:p>
    <w:p>
      <w:r>
        <w:rPr>
          <w:color w:val="555555"/>
          <w:sz w:val="17"/>
        </w:rPr>
        <w:t xml:space="preserve">Zitiervorschlag: § 3 LMEV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https://recht.nulegal.eu/gesetze/LMEV/3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