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LMEV — Verfahren bei der Wiedereinfuhr</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Abweichend von § 5 Absatz 1 und § 7 Absatz 1, auch in Verbindung mit Absatz 3, darf eine Sendung von Lebensmitteln tierischen Ursprungs oder zusammengesetzten Lebensmitteln mit Ursprung in der Europäischen Union, einem EFTA-Staat, auf den Färöer Inseln oder, im Falle von Fischereierzeugnissen sowie lebenden Muscheln, Stachelhäutern, Manteltieren und Meeresschnecken mit Ursprung aus Grönland, die von einem Drittland zurückgewiesen worden ist, wieder in den Geltungsbereich dieser Verordnung verbracht werden, wenn</w:t>
      </w:r>
    </w:p>
    <w:p>
      <w:pPr>
        <w:ind w:left="420"/>
      </w:pPr>
      <w:r>
        <w:t xml:space="preserve">1. die zuständige Behörde, die die Genusstauglichkeits-, Gesundheitsbescheinigung oder sonstige vergleichbare Urkunde im Original ausgestellt hat, der Rücknahme der Sendung in den Ursprungsbetrieb zugestimmt hat,</w:t>
      </w:r>
    </w:p>
    <w:p>
      <w:pPr>
        <w:ind w:left="420"/>
      </w:pPr>
      <w:r>
        <w:t xml:space="preserve">2. die Sendung von dem in Nummer 1 genannten Original oder einer amtlich beglaubigten Kopie der Genusstauglichkeits-, Gesundheitsbescheinigung oder sonstigen vergleichbaren Urkunde begleitet ist und</w:t>
      </w:r>
    </w:p>
    <w:p>
      <w:pPr>
        <w:ind w:left="780"/>
      </w:pPr>
      <w:r>
        <w:t xml:space="preserve">a) die Sendung von einer Bescheinigung der zuständigen Behörde des Drittlandes begleitet ist, in der die Gründe für die Zurückweisung angegeben werden und bestätigt wird, dass die vorgeschriebenen Lagerungs- und Transportbedingungen eingehalten und die Lebensmittel keiner Behandlung unterzogen worden sind, oder</w:t>
      </w:r>
    </w:p>
    <w:p>
      <w:pPr>
        <w:ind w:left="780"/>
      </w:pPr>
      <w:r>
        <w:t xml:space="preserve">b) im Falle von verplombten Behältnissen die Sendung von einer Bescheinigung des Transportunternehmens begleitet ist, in der bestätigt wird, dass die Lebensmittel nicht behandelt oder entladen worden sind, und</w:t>
      </w:r>
    </w:p>
    <w:p>
      <w:pPr>
        <w:ind w:left="420"/>
      </w:pPr>
      <w:r>
        <w:t xml:space="preserve">3. die Sendung über eine Grenzkontrollstelle nach § 5 Absatz 1 Nummer 2 in das Inland verbracht wird.</w:t>
      </w:r>
    </w:p>
    <w:p>
      <w:r>
        <w:t xml:space="preserve">(2) Die für die Grenzkontrollstelle zuständige Behörde hat die in Absatz 1 genannte Sendung einer Dokumentenprüfung und Nämlichkeitskontrolle sowie bei begründetem Verdacht auf Nichteinhaltung der lebensmittelrechtlichen Bestimmungen auch einer Warenuntersuchung nach § 7 Absatz 1 zu unterziehen. Wer Sendungen nach Absatz 1 befördert, hat diese in amtlich verplombten, lecksicheren Fahrzeugen oder Behältnissen zu transportieren und unmittelbar in den Ursprungsbetrieb, für den die Originalbescheinigung ausgestellt worden ist, zurückzuverbringen.</w:t>
      </w:r>
    </w:p>
    <w:p>
      <w:r>
        <w:t xml:space="preserve">(3) § 8a Absatz 3 und 4 gilt entsprechend.</w:t>
      </w:r>
    </w:p>
    <w:p>
      <w:r>
        <w:rPr>
          <w:color w:val="555555"/>
          <w:sz w:val="17"/>
        </w:rPr>
        <w:t xml:space="preserve">Zitiervorschlag: § 14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