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13a LMEV — Verbot der Einfuhr bestimmter Lebensmittel</w:t>
      </w:r>
    </w:p>
    <w:p>
      <w:r>
        <w:rPr>
          <w:color w:val="555555"/>
          <w:sz w:val="18"/>
        </w:rPr>
        <w:t xml:space="preserve">Lebensmitteleinfuhr-Verordnung</w:t>
      </w:r>
    </w:p>
    <w:p>
      <w:r>
        <w:rPr>
          <w:color w:val="555555"/>
          <w:sz w:val="18"/>
        </w:rPr>
        <w:t xml:space="preserve">Historische Fassung: Stand 10.06.2019 bis 20.04.2024. Dies ist nicht die aktuelle Fassung.</w:t>
      </w:r>
    </w:p>
    <w:p>
      <w:r>
        <w:t xml:space="preserve">Es ist verboten, Fleisch von Hunden, Katzen, anderen hundeartigen oder katzenartigen Tieren (Caniden und Feliden) oder Affen einzuführen.</w:t>
      </w:r>
    </w:p>
    <w:p>
      <w:r>
        <w:rPr>
          <w:color w:val="555555"/>
          <w:sz w:val="17"/>
        </w:rPr>
        <w:t xml:space="preserve">Zitiervorschlag: § 13a LMEV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https://recht.nulegal.eu/gesetze/LMEV/13a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