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LMEV — Anerkennung von Lagern und Registrierung von Schiffsausrüstern</w:t>
      </w:r>
    </w:p>
    <w:p>
      <w:r>
        <w:rPr>
          <w:color w:val="555555"/>
          <w:sz w:val="18"/>
        </w:rPr>
        <w:t xml:space="preserve">Lebensmitteleinfuhr-Verordnung</w:t>
      </w:r>
    </w:p>
    <w:p>
      <w:r>
        <w:rPr>
          <w:color w:val="555555"/>
          <w:sz w:val="18"/>
        </w:rPr>
        <w:t xml:space="preserve">Historische Fassung: Stand 10.06.2019 bis 20.04.2024. Dies ist nicht die aktuelle Fassung.</w:t>
      </w:r>
    </w:p>
    <w:p>
      <w:r>
        <w:t xml:space="preserve">(1) Zolllager und Lager in Freizonen, in denen Lebensmittel, die nicht den Anforderungen an die Einfuhr entsprechen, gelagert werden sollen, werden auf Antrag von der zuständigen Behörde anerkannt, wenn die folgenden Voraussetzungen erfüllt sind:</w:t>
      </w:r>
    </w:p>
    <w:p>
      <w:pPr>
        <w:ind w:left="420"/>
      </w:pPr>
      <w:r>
        <w:t xml:space="preserve">1. Die Lager verfügen über kontrollierbare Zugänge und müssen gegen den Zutritt Unbefugter gesichert sein.</w:t>
      </w:r>
    </w:p>
    <w:p>
      <w:pPr>
        <w:ind w:left="420"/>
      </w:pPr>
      <w:r>
        <w:t xml:space="preserve">2. Die Lager verfügen über getrennte Lager- oder Kühlräume, die es ermöglichen, die Lebensmittel im Sinne des § 9 Absatz 1 getrennt von anderen Lebensmitteln zu lagern. Abweichend von Satz 1 kann die zuständige Behörde die getrennte Lagerung innerhalb eines Raumes gestatten, wenn für Lebensmittel im Sinne des § 9 Absatz 1 eine abschließbare Abtrennung vorhanden ist.</w:t>
      </w:r>
    </w:p>
    <w:p>
      <w:pPr>
        <w:ind w:left="420"/>
      </w:pPr>
      <w:r>
        <w:t xml:space="preserve">3. Die Lager verfügen über Räume, die dem Personal vorbehalten sind, das die amtlichen Kontrollen durchführt.</w:t>
      </w:r>
    </w:p>
    <w:p>
      <w:r>
        <w:t xml:space="preserve">(2) Schiffsausrüster werden auf Antrag von der zuständigen Behörde registriert, wenn sie die Voraussetzungen des Absatzes 1 Nummer 2 erfüllen und über ein geschlossenes Gebäude verfügen, dessen Zugänge jederzeit kontrollierbar und gegen den Zutritt Unbefugter gesichert sind.</w:t>
      </w:r>
    </w:p>
    <w:p>
      <w:r>
        <w:t xml:space="preserve">(3) Die zuständige Behörde hat die Einhaltung der Voraussetzungen nach den Absätzen 1 und 2 zu überwachen.</w:t>
      </w:r>
    </w:p>
    <w:p>
      <w:r>
        <w:t xml:space="preserve">(4) Die zuständige Behörde übermittelt dem Bundesamt Name, Anschrift, Veterinärkontroll-Nummer und TRACES-Nummer sowie diesbezügliche Änderungen zu den nach Absatz 1 anerkannten Lagern und zu den nach Absatz 2 registrierten Schiffsausrüstern. Das Bundesamt führt ein Verzeichnis der nach Absatz 1 anerkannten Lager und der nach Absatz 2 registrierten Schiffsausrüster.</w:t>
      </w:r>
    </w:p>
    <w:p>
      <w:r>
        <w:rPr>
          <w:color w:val="555555"/>
          <w:sz w:val="17"/>
        </w:rPr>
        <w:t xml:space="preserve">Zitiervorschlag: § 12 LMEV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https://recht.nulegal.eu/gesetze/LMEV/12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