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LMChemPV (Brandenburg) — Zulassung, Ausbildungsstelle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berufspraktischen Ausbildung kann zugelassen werden, wer die Voraussetzungen des § 2 Abs. 1 Nr. 1 oder des § 2 Abs. 2 LMChemG erfüllt.</w:t>
      </w:r>
    </w:p>
    <w:p>
      <w:r>
        <w:t xml:space="preserve">(2) Die Ausbildung wird in dem Landeslabor Berlin-Brandenburg durchgeführt.</w:t>
      </w:r>
    </w:p>
    <w:p>
      <w:r>
        <w:rPr>
          <w:color w:val="555555"/>
          <w:sz w:val="17"/>
        </w:rPr>
        <w:t xml:space="preserve">Zitiervorschlag: § 1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