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LMChemG (Brandenburg) — Inkrafttreten</w:t>
      </w:r>
    </w:p>
    <w:p>
      <w:r>
        <w:rPr>
          <w:color w:val="555555"/>
          <w:sz w:val="18"/>
        </w:rPr>
        <w:t xml:space="preserve">Gesetz zum Schutz der Berufsbezeichnung "Staatlich geprüfte Lebensmittelchemikerin" und "Staatlich geprüfter Lebensmittelchemiker"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Dieses Gesetz tritt am Tage nach der Verkündung in Kraft.</w:t>
      </w:r>
    </w:p>
    <w:p>
      <w:r>
        <w:t xml:space="preserve">Potsdam, den 26. November 1998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Dr. Herbert Knoblich</w:t>
      </w:r>
    </w:p>
    <w:p>
      <w:r>
        <w:rPr>
          <w:color w:val="555555"/>
          <w:sz w:val="17"/>
        </w:rPr>
        <w:t xml:space="preserve">Zitiervorschlag: § 8 LMChemG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https://recht.nulegal.eu/gesetze/LMChemG/8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