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LMChemG (Brandenburg) — Übergangsregelungen</w:t>
      </w:r>
    </w:p>
    <w:p>
      <w:r>
        <w:rPr>
          <w:color w:val="555555"/>
          <w:sz w:val="18"/>
        </w:rPr>
        <w:t xml:space="preserve">Gesetz zum Schutz der Berufsbezeichnung "Staatlich geprüfte Lebensmittelchemikerin" und "Staatlich geprüfter Lebensmittelchemiker"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Diplom-Lebensmittelchemiker, die ihre Ausbildung nach dem</w:t>
      </w:r>
    </w:p>
    <w:p>
      <w:r>
        <w:t xml:space="preserve">Recht der Deutschen Demokratischen Republik abgeschlossen haben, dürfen</w:t>
      </w:r>
    </w:p>
    <w:p>
      <w:r>
        <w:t xml:space="preserve">gemäß Artikel 37 Abs. 1 des Einigungsvertrages die Berufsbezeichnung</w:t>
      </w:r>
    </w:p>
    <w:p>
      <w:r>
        <w:t xml:space="preserve">"Diplom-Lebensmittelchemiker" weiterführen. Die Ausbildung</w:t>
      </w:r>
    </w:p>
    <w:p>
      <w:r>
        <w:t xml:space="preserve">entspricht einem Studium im Sinne des § 2 Abs. 1 Nr. 1.</w:t>
      </w:r>
    </w:p>
    <w:p>
      <w:r>
        <w:t xml:space="preserve">(2) Ein Studium nach dem Recht der Deutschen Demokratischen</w:t>
      </w:r>
    </w:p>
    <w:p>
      <w:r>
        <w:t xml:space="preserve">Republik mit dem Abschluß als Diplom-Lebensmittelchemiker oder als</w:t>
      </w:r>
    </w:p>
    <w:p>
      <w:r>
        <w:t xml:space="preserve">Diplomchemiker mit Vertiefungsrichtung Lebensmittelchemie, jeweils in</w:t>
      </w:r>
    </w:p>
    <w:p>
      <w:r>
        <w:t xml:space="preserve">Verbindung mit einer zusätzlichen Fachausbildung zum</w:t>
      </w:r>
    </w:p>
    <w:p>
      <w:r>
        <w:t xml:space="preserve">"Diplom-Lebensmittelchemiker im Hygienedienst" oder zum</w:t>
      </w:r>
    </w:p>
    <w:p>
      <w:r>
        <w:t xml:space="preserve">"Fachlebensmittelchemiker der Medizin" und dem Nachweis einer</w:t>
      </w:r>
    </w:p>
    <w:p>
      <w:r>
        <w:t xml:space="preserve">anerkannten Anpassungsqualifizierung, entspricht einer Ausbildung im Sinne des</w:t>
      </w:r>
    </w:p>
    <w:p>
      <w:r>
        <w:t xml:space="preserve">§ 2 Abs. 1 Nr. 1 bis 3.</w:t>
      </w:r>
    </w:p>
    <w:p>
      <w:r>
        <w:t xml:space="preserve">(3) Ein naturwissenschaftliches Hochschulstudium in Verbindung</w:t>
      </w:r>
    </w:p>
    <w:p>
      <w:r>
        <w:t xml:space="preserve">mit dem Abschluß als "Fachwissenschaftler der Medizin" auf dem</w:t>
      </w:r>
    </w:p>
    <w:p>
      <w:r>
        <w:t xml:space="preserve">Gebiet der Lebensmittel- und Ernährungshygiene und dem Nachweis einer</w:t>
      </w:r>
    </w:p>
    <w:p>
      <w:r>
        <w:t xml:space="preserve">anerkannten Anpassungsqualifizierung entspricht einer Ausbildung im Sinne des</w:t>
      </w:r>
    </w:p>
    <w:p>
      <w:r>
        <w:t xml:space="preserve">§ 2 Abs. 1 Nr. 1 bis 3, wenn die Person zum Zeitpunkt des Inkrafttretens</w:t>
      </w:r>
    </w:p>
    <w:p>
      <w:r>
        <w:t xml:space="preserve">dieses Gesetzes in der amtlichen Lebensmittelüberwachung tätig ist.</w:t>
      </w:r>
    </w:p>
    <w:p>
      <w:r>
        <w:rPr>
          <w:color w:val="555555"/>
          <w:sz w:val="17"/>
        </w:rPr>
        <w:t xml:space="preserve">Zitiervorschlag: § 7 LMChemG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