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LMChemG (Brandenburg) — Verarbeitung personenbezogener Daten</w:t>
      </w:r>
    </w:p>
    <w:p>
      <w:r>
        <w:rPr>
          <w:color w:val="555555"/>
          <w:sz w:val="18"/>
        </w:rPr>
        <w:t xml:space="preserve">Gesetz zum Schutz der Berufsbezeichnung "Staatlich geprüfte Lebensmittelchemikerin" und "Staatlich geprüfter Lebensmittelchemiker"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nach § 2 Abs. 3 Satz 1 zuständige</w:t>
      </w:r>
    </w:p>
    <w:p>
      <w:r>
        <w:t xml:space="preserve">Ministerium darf zum Zwecke und im Rahmen der ihm durch dieses Gesetz</w:t>
      </w:r>
    </w:p>
    <w:p>
      <w:r>
        <w:t xml:space="preserve">zugewiesenen Aufgaben die erforderlichen personenbezogenen Daten erheben und</w:t>
      </w:r>
    </w:p>
    <w:p>
      <w:r>
        <w:t xml:space="preserve">speichern.</w:t>
      </w:r>
    </w:p>
    <w:p>
      <w:r>
        <w:t xml:space="preserve">(2) Die Daten sind grundsätzlich bei den Betroffenen mit</w:t>
      </w:r>
    </w:p>
    <w:p>
      <w:r>
        <w:t xml:space="preserve">deren Kenntnis zu erheben. Die Betroffenen sind verpflichtet, dem nach § 2</w:t>
      </w:r>
    </w:p>
    <w:p>
      <w:r>
        <w:t xml:space="preserve">Abs. 3 Satz 1 zuständigen Ministerium die zur Entscheidung über die</w:t>
      </w:r>
    </w:p>
    <w:p>
      <w:r>
        <w:t xml:space="preserve">Erteilung der Erlaubnis erforderlichen Nachweise zu erbringen; hierauf sind sie</w:t>
      </w:r>
    </w:p>
    <w:p>
      <w:r>
        <w:t xml:space="preserve">hinzuweisen.</w:t>
      </w:r>
    </w:p>
    <w:p>
      <w:r>
        <w:t xml:space="preserve">(3) Eine Erhebung personenbezogener Daten ist ohne Kenntnis</w:t>
      </w:r>
    </w:p>
    <w:p>
      <w:r>
        <w:t xml:space="preserve">der Betroffenen nur zulässig, wenn anderenfalls die Erfüllung der</w:t>
      </w:r>
    </w:p>
    <w:p>
      <w:r>
        <w:t xml:space="preserve">Aufgaben nach diesem Gesetz gefährdet wäre. Dies ist insbesondere</w:t>
      </w:r>
    </w:p>
    <w:p>
      <w:r>
        <w:t xml:space="preserve">dann gegeben, wenn Anhaltspunkte für unrichtige Angaben, die</w:t>
      </w:r>
    </w:p>
    <w:p>
      <w:r>
        <w:t xml:space="preserve">Unzuverlässigkeit des Betroffenen im Sinne des § 2 Abs. 4 oder</w:t>
      </w:r>
    </w:p>
    <w:p>
      <w:r>
        <w:t xml:space="preserve">für eine Ordnungswidrigkeit im Sinne des § 5 Abs. 1 vorliegen. In</w:t>
      </w:r>
    </w:p>
    <w:p>
      <w:r>
        <w:t xml:space="preserve">diesen Fällen ist das nach § 2 Abs. 3 Satz 1 zuständige</w:t>
      </w:r>
    </w:p>
    <w:p>
      <w:r>
        <w:t xml:space="preserve">Ministerium berechtigt, die zur Klärung notwendigen personenbezogenen</w:t>
      </w:r>
    </w:p>
    <w:p>
      <w:r>
        <w:t xml:space="preserve">Daten bei öffentlichen Stellen zu erheben.</w:t>
      </w:r>
    </w:p>
    <w:p>
      <w:r>
        <w:t xml:space="preserve">(4) Im übrigen gilt das Brandenburgische</w:t>
      </w:r>
    </w:p>
    <w:p>
      <w:r>
        <w:t xml:space="preserve">Datenschutzgesetz.</w:t>
      </w:r>
    </w:p>
    <w:p>
      <w:r>
        <w:rPr>
          <w:color w:val="555555"/>
          <w:sz w:val="17"/>
        </w:rPr>
        <w:t xml:space="preserve">Zitiervorschlag: § 6 LMChemG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