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LMChemG (Brandenburg) — Ordnungswidrigkeiten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</w:t>
      </w:r>
    </w:p>
    <w:p>
      <w:r>
        <w:t xml:space="preserve">fahrlässig eine der in § 1 genannten Berufsbezeichnungen führt,</w:t>
      </w:r>
    </w:p>
    <w:p>
      <w:r>
        <w:t xml:space="preserve">ohne dazu berechtigt zu sein.</w:t>
      </w:r>
    </w:p>
    <w:p>
      <w:r>
        <w:t xml:space="preserve">(2) Die Ordnungswidrigkeit kann mit einer Geldbuße bis</w:t>
      </w:r>
    </w:p>
    <w:p>
      <w:r>
        <w:t xml:space="preserve">zu 10 000 Deutsche Mark geahndet werden.</w:t>
      </w:r>
    </w:p>
    <w:p>
      <w:r>
        <w:t xml:space="preserve">(3) Zuständige Behörde im Sinne des § 36 Abs. 1</w:t>
      </w:r>
    </w:p>
    <w:p>
      <w:r>
        <w:t xml:space="preserve">Nr. 1 des Gesetzes über Ordnungswidrigkeiten ist das für</w:t>
      </w:r>
    </w:p>
    <w:p>
      <w:r>
        <w:t xml:space="preserve">Lebensmittelüberwachung zuständige Ministerium.</w:t>
      </w:r>
    </w:p>
    <w:p>
      <w:r>
        <w:rPr>
          <w:color w:val="555555"/>
          <w:sz w:val="17"/>
        </w:rPr>
        <w:t xml:space="preserve">Zitiervorschlag: § 5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