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LMChemG (Brandenburg) — Fortbildung</w:t>
      </w:r>
    </w:p>
    <w:p>
      <w:r>
        <w:rPr>
          <w:color w:val="555555"/>
          <w:sz w:val="18"/>
        </w:rPr>
        <w:t xml:space="preserve">Gesetz zum Schutz der Berufsbezeichnung "Staatlich geprüfte Lebensmittelchemikerin" und "Staatlich geprüfter Lebensmittelchemiker"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Staatlich geprüfte Lebensmittelchemiker haben im Zeitraum</w:t>
      </w:r>
    </w:p>
    <w:p>
      <w:r>
        <w:t xml:space="preserve">von drei Jahren nachweislich mindestens an zwei eintägigen</w:t>
      </w:r>
    </w:p>
    <w:p>
      <w:r>
        <w:t xml:space="preserve">Fortbildungsveranstaltungen oder einer mehrtägigen Veranstaltung</w:t>
      </w:r>
    </w:p>
    <w:p>
      <w:r>
        <w:t xml:space="preserve">teilzunehmen, durch die die erworbenen Kenntnisse erweitert und neue</w:t>
      </w:r>
    </w:p>
    <w:p>
      <w:r>
        <w:t xml:space="preserve">Erkenntnisse und Entwicklungen auf dem Gebiet der Lebensmittelchemie und des</w:t>
      </w:r>
    </w:p>
    <w:p>
      <w:r>
        <w:t xml:space="preserve">Lebensmittelrechts vermittelt werden.</w:t>
      </w:r>
    </w:p>
    <w:p>
      <w:r>
        <w:rPr>
          <w:color w:val="555555"/>
          <w:sz w:val="17"/>
        </w:rPr>
        <w:t xml:space="preserve">Zitiervorschlag: § 3 LMChemG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https://recht.nulegal.eu/gesetze/LMChemG/3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