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LMChemAPVO (Sachsen) — Universitätsstudium</w:t>
      </w:r>
    </w:p>
    <w:p>
      <w:r>
        <w:rPr>
          <w:color w:val="555555"/>
          <w:sz w:val="18"/>
        </w:rPr>
        <w:t xml:space="preserve">Verordnung des Sächsischen Staatsministeriums für Soziales und Verbraucherschutz über die Ausbildung und Prüfung der staatlich geprüften Lebensmittelchemiker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Universitätsstudium werden die für die Ausübung des Berufs des Lebensmittelchemikers erforderlichen naturwissenschaftlichen Kenntnisse und Fähigkeiten sowie die notwendigen Rechtskenntnisse vermittelt. Das Universitätsstudium ist mit dem Bestehen des Zweiten Prüfungsabschnitts abgeschlossen.</w:t>
      </w:r>
    </w:p>
    <w:p>
      <w:r>
        <w:t xml:space="preserve">(2) Der zeitliche Gesamtumfang aller Lehrveranstaltungen des Pflicht-, Wahlpflicht- und Wahlbereichs umfasst mindestens 235 Semesterwochenstunden.</w:t>
      </w:r>
    </w:p>
    <w:p>
      <w:r>
        <w:rPr>
          <w:color w:val="555555"/>
          <w:sz w:val="17"/>
        </w:rPr>
        <w:t xml:space="preserve">Zitiervorschlag: § 2 LMChemAPVO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https://recht.nulegal.eu/gesetze/LMChemAPVO/2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