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LMChemAPVO (Sachsen) — Anrechnung von Prüfungen und Ausbildungszeiten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Ersten Prüfungsabschnitt der Staatsprüfung für staatlich geprüfte Lebensmittelchemiker ist der erfolgreiche Abschluss</w:t>
      </w:r>
    </w:p>
    <w:p>
      <w:r>
        <w:t xml:space="preserve">1. der Diplom-Vorprüfung in Chemie, ergänzt durch eine Fachprüfung in Biologie nach § 16 in Verbindung mit Anlage 2 Nr. 5,</w:t>
      </w:r>
    </w:p>
    <w:p>
      <w:r>
        <w:t xml:space="preserve">2. des Zweiten Prüfungsabschnittes der Pharmazeutischen Prüfung oder</w:t>
      </w:r>
    </w:p>
    <w:p>
      <w:r>
        <w:t xml:space="preserve">3. der Prüfung zum Bachelor of Science im Studiengang Lebensmittelchemie</w:t>
      </w:r>
    </w:p>
    <w:p>
      <w:r>
        <w:t xml:space="preserve">gleichgestellt.</w:t>
      </w:r>
    </w:p>
    <w:p>
      <w:r>
        <w:t xml:space="preserve">(2) Dem Zweiten Prüfungsabschnitt der Staatsprüfung für staatlich geprüfte Lebensmittelchemiker ist der erfolgreiche Abschluss der Prüfung zum Master of Science im Studiengang Lebensmittelchemie gleichgestellt.</w:t>
      </w:r>
    </w:p>
    <w:p>
      <w:r>
        <w:t xml:space="preserve">(3) Der für die Zulassung zur jeweiligen Prüfung zuständige Vorsitzende des Prüfungsausschusses entscheidet über die Anrechnung</w:t>
      </w:r>
    </w:p>
    <w:p>
      <w:r>
        <w:t xml:space="preserve">1. von Studienzeiten, Studienleistungen und einzelnen Prüfungsleistungen in anderen Studiengängen oder an anderen Universitäten, soweit er die Gleichwertigkeit festgestellt hat,</w:t>
      </w:r>
    </w:p>
    <w:p>
      <w:r>
        <w:t xml:space="preserve">2. einer Tätigkeit im Rahmen der berufspraktischen Ausbildung nach § 3 an einem Universitätsinstitut der Lebensmittelchemie, einer ähnlichen Forschungseinrichtung, einer Kontrollbehörde eines anderen Mitgliedstaates der Europäischen Union, einem freiberuflichen Labor oder einer Einrichtung der Wirtschaft auf die Ausbildungszeit von bis zu vier Monaten, soweit er die Gleichwertigkeit der Ausbildung festgestellt hat.</w:t>
      </w:r>
    </w:p>
    <w:p>
      <w:r>
        <w:rPr>
          <w:color w:val="555555"/>
          <w:sz w:val="17"/>
        </w:rPr>
        <w:t xml:space="preserve">Zitiervorschlag: § 19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