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LMChemAPVO (Sachsen) — Dritter Prüfungsabschnitt</w:t>
      </w:r>
    </w:p>
    <w:p>
      <w:r>
        <w:rPr>
          <w:color w:val="555555"/>
          <w:sz w:val="18"/>
        </w:rPr>
        <w:t xml:space="preserve">Verordnung des Sächsischen Staatsministeriums für Soziales und Verbraucherschutz über die Ausbildung und Prüfung der staatlich geprüften Lebensmittelchemiker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Dritten Prüfungsabschnitt hat der Prüfling nachzuweisen, dass er über umfassende Kenntnisse in der Kontrolle von Erzeugnissen im Sinne des Lebensmittel- und Futtermittelgesetzbuches , des Weingesetzes und von Tabakerzeugnissen verfügt und in der Lage ist, die notwendigen Untersuchungen und Beurteilungen vorzunehmen sowie die entsprechenden Maßnahmen zu veranlassen.</w:t>
      </w:r>
    </w:p>
    <w:p>
      <w:r>
        <w:t xml:space="preserve">(2) Der Dritte Prüfungsabschnitt umfasst die praktische Prüfung nach Anlage 4 Nr. 1, drei Aufsichtsarbeiten nach Anlage 4 Nr. 2 und die mündliche Prüfung nach Anlage 4 Nr. 3.</w:t>
      </w:r>
    </w:p>
    <w:p>
      <w:r>
        <w:t xml:space="preserve">(3) Für die Erstellung der Prüfpläne nach Anlage 4 Nr. 1 und die Auswertung der vorgegebenen Analysendaten stehen jeweils maximal zwei Arbeitstage zur Verfügung.</w:t>
      </w:r>
    </w:p>
    <w:p>
      <w:r>
        <w:t xml:space="preserve">(4) In den jeweils höchstens acht Stunden dauernden Aufsichtsarbeiten sind nach Maßgabe der Anlage 4 Nr. 2 lebensmittelrechtliche Beurteilungen in Form eines gerichtsverwertbaren Sachverständigengutachtens zu erstellen.</w:t>
      </w:r>
    </w:p>
    <w:p>
      <w:r>
        <w:t xml:space="preserve">(5) Die mündliche Prüfung dauert in der Regel 45 Minuten.</w:t>
      </w:r>
    </w:p>
    <w:p>
      <w:r>
        <w:t xml:space="preserve">(6) Zur Ermittlung der Gesamtnote des Dritten Prüfungsabschnitts wird aus den Noten der drei Aufsichtsarbeiten und der praktischen Prüfung eine Durchschnittsnote errechnet. Die Durchschnittsnote nach Satz 1 und die Note der mündlichen Prüfung werden zusammengezählt und die Summe durch 2 geteilt; § 11 Abs. 3 gilt entsprechend.</w:t>
      </w:r>
    </w:p>
    <w:p>
      <w:r>
        <w:rPr>
          <w:color w:val="555555"/>
          <w:sz w:val="17"/>
        </w:rPr>
        <w:t xml:space="preserve">Zitiervorschlag: § 18 LMChemAPVO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https://recht.nulegal.eu/gesetze/LMChemAPVO/18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