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LMBestrV 2000 — Mitteilungen, Berichte</w:t>
      </w:r>
    </w:p>
    <w:p>
      <w:r>
        <w:rPr>
          <w:color w:val="555555"/>
          <w:sz w:val="18"/>
        </w:rPr>
        <w:t xml:space="preserve">Lebensmittelbestrahlungsverordnung</w:t>
      </w:r>
    </w:p>
    <w:p>
      <w:r>
        <w:rPr>
          <w:color w:val="555555"/>
          <w:sz w:val="18"/>
        </w:rPr>
        <w:t xml:space="preserve">Stand: 29.11.2025 (konsolidierte Textfassung, kein amtliches Inkrafttretensdatum)</w:t>
      </w:r>
    </w:p>
    <w:p>
      <w:r>
        <w:t xml:space="preserve">(1) Die Länder teilen dem Bundesministerium für Ernährung und Landwirtschaft die nach § 4 für die Zulassung zuständigen Behörden mit.</w:t>
      </w:r>
    </w:p>
    <w:p>
      <w:r>
        <w:t xml:space="preserve">(2) Die zuständigen Behörden übermitteln dem Bundesministerium für Ernährung und Landwirtschaft eine Durchschrift jeder Zulassungsverfügung und jeder Änderung dieser Verfügung.</w:t>
      </w:r>
    </w:p>
    <w:p>
      <w:r>
        <w:rPr>
          <w:color w:val="555555"/>
          <w:sz w:val="17"/>
        </w:rPr>
        <w:t xml:space="preserve">Zitiervorschlag: § 6 LMBestrV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https://recht.nulegal.eu/gesetze/LMBestrV%202000/6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