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LMBestrV 2000 — Zulassung von Einrichtungen zur Bestrahlung</w:t>
      </w:r>
    </w:p>
    <w:p>
      <w:r>
        <w:rPr>
          <w:color w:val="555555"/>
          <w:sz w:val="18"/>
        </w:rPr>
        <w:t xml:space="preserve">Lebensmittelbestrahlungsverordnung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Einrichtungen zur Bestrahlung im Sinne des § 1 Absatz 1 (Bestrahlungsanlagen) dürfen nur verwendet werden, wenn sie durch die nach Landesrecht zuständigen Behörden für diesen Zweck zugelassen sind. Die Zulassung erfolgt unbeschadet sonstiger öffentlich-rechtlicher Vorschriften für solche Einrichtungen.</w:t>
      </w:r>
    </w:p>
    <w:p>
      <w:r>
        <w:t xml:space="preserve">(2) Die Zulassung darf nur erteilt werden, wenn</w:t>
      </w:r>
    </w:p>
    <w:p>
      <w:pPr>
        <w:ind w:left="420"/>
      </w:pPr>
      <w:r>
        <w:t xml:space="preserve">1. die Anlage den Anforderungen der empfohlenen internationalen Verfahrensleitsätze der Codex-Alimentarius-Kommission für das Betreiben von Bestrahlungseinrichtungen für die Behandlung von Lebensmitteln (Ref. FAO/WHO/CAC/Vol XV Ausgabe 1)[*] entspricht,</w:t>
      </w:r>
    </w:p>
    <w:p>
      <w:pPr>
        <w:ind w:left="420"/>
      </w:pPr>
      <w:r>
        <w:t xml:space="preserve">2. für die Anlage eine Person bestimmt ist, die für die Einhaltung aller der für die Anwendung des Verfahrens erforderlichen Bedingungen verantwortlich ist.</w:t>
      </w:r>
    </w:p>
    <w:p>
      <w:r>
        <w:t xml:space="preserve">(3) Die zuständigen Behörden erteilen jeder zugelassenen Anlage eine Referenznummer.</w:t>
      </w:r>
    </w:p>
    <w:p>
      <w:r>
        <w:t xml:space="preserve">* UNO-Verlag, Am Hofgarten 10, D 53113 Bonn.</w:t>
      </w:r>
    </w:p>
    <w:p>
      <w:r>
        <w:rPr>
          <w:color w:val="555555"/>
          <w:sz w:val="17"/>
        </w:rPr>
        <w:t xml:space="preserve">Zitiervorschlag: § 4 LMBestrV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https://recht.nulegal.eu/gesetze/LMBestrV%202000/4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