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LMBestrV 2000 — Zulassungen</w:t>
      </w:r>
    </w:p>
    <w:p>
      <w:r>
        <w:rPr>
          <w:color w:val="555555"/>
          <w:sz w:val="18"/>
        </w:rPr>
        <w:t xml:space="preserve">Lebensmittelbestrahlungsverordnung</w:t>
      </w:r>
    </w:p>
    <w:p>
      <w:r>
        <w:rPr>
          <w:color w:val="555555"/>
          <w:sz w:val="18"/>
        </w:rPr>
        <w:t xml:space="preserve">Stand: 29.11.2025 (konsolidierte Textfassung, kein amtliches Inkrafttretensdatum)</w:t>
      </w:r>
    </w:p>
    <w:p>
      <w:r>
        <w:t xml:space="preserve">(1) Die Behandlung von getrockneten aromatischen Kräutern und Gewürzen mit den in der Nummer 1 der Anlage aufgeführten Elektronen-, Gamma- und Röntgenstrahlen (Bestrahlung) ist zugelassen.</w:t>
      </w:r>
    </w:p>
    <w:p>
      <w:r>
        <w:t xml:space="preserve">(2) Die Bestrahlung nach Absatz 1 darf nur unter folgenden Bedingungen durchgeführt werden:</w:t>
      </w:r>
    </w:p>
    <w:p>
      <w:pPr>
        <w:ind w:left="420"/>
      </w:pPr>
      <w:r>
        <w:t xml:space="preserve">1. die maximale durchschnittlich absorbierte Gesamtdosis beträgt nicht mehr als 10 Kilogray,</w:t>
      </w:r>
    </w:p>
    <w:p>
      <w:pPr>
        <w:ind w:left="420"/>
      </w:pPr>
      <w:r>
        <w:t xml:space="preserve">2. die Bestrahlung darf nicht in Verbindung mit einer chemischen Behandlung angewandt werden, die dem gleichen Ziel wie die Bestrahlung dient,</w:t>
      </w:r>
    </w:p>
    <w:p>
      <w:pPr>
        <w:ind w:left="420"/>
      </w:pPr>
      <w:r>
        <w:t xml:space="preserve">3. die Vorgaben der Nummern 2 und 3 der Anlage sind einzuhalten.</w:t>
      </w:r>
    </w:p>
    <w:p>
      <w:r>
        <w:t xml:space="preserve">Die Strahlendosis im Sinne der Nummer 1 darf in mehreren Teildosen verabreicht werden. Das bei der Bestrahlung verwendete Verpackungsmaterial muss für die Zwecke der Bestrahlung nach dem Stand der Technik geeignet sein.</w:t>
      </w:r>
    </w:p>
    <w:p>
      <w:r>
        <w:t xml:space="preserve">(3) Zu Kontroll- und Messzwecken ist die Bestrahlung sowie die Behandlung von Lebensmitteln mit Neutronen zugelassen. Dabei darf die Energie der Strahlung im Falle von Röntgenstrahlung 10 Megaelektronvolt, im Falle von Neutronenstrahlung 14 Megaelektronvolt und bei anderer Strahlung 5 Megaelektronvolt nicht überschreiten. Die absorbierte Dosis darf bei Neutronenstrahlung 0,01 Gray und bei anderer Strahlung 0,5 Gray nicht überschreiten.</w:t>
      </w:r>
    </w:p>
    <w:p>
      <w:r>
        <w:t xml:space="preserve">(4) Die Behandlung durch direkte Einwirkung mit ultravioletten Strahlen (Behandlung mit UV-C-Strahlen) ist zugelassen zur Entkeimung</w:t>
      </w:r>
    </w:p>
    <w:p>
      <w:pPr>
        <w:ind w:left="420"/>
      </w:pPr>
      <w:r>
        <w:t xml:space="preserve">1. von Trinkwasser,</w:t>
      </w:r>
    </w:p>
    <w:p>
      <w:pPr>
        <w:ind w:left="420"/>
      </w:pPr>
      <w:r>
        <w:t xml:space="preserve">2. der Oberfläche von Obst- und Gemüseerzeugnissen,</w:t>
      </w:r>
    </w:p>
    <w:p>
      <w:pPr>
        <w:ind w:left="420"/>
      </w:pPr>
      <w:r>
        <w:t xml:space="preserve">3. von Hartkäse bei der Lagerung,</w:t>
      </w:r>
    </w:p>
    <w:p>
      <w:pPr>
        <w:ind w:left="420"/>
      </w:pPr>
      <w:r>
        <w:t xml:space="preserve">4. von Eiern im Sinne des Anhangs I Nr. 5.1. der Verordnung (EG) Nr. 853/2004 in der Fassung vom 19. April 2024.</w:t>
      </w:r>
    </w:p>
    <w:p>
      <w:r>
        <w:t xml:space="preserve">Lebensmittelunternehmer, die eine Behandlung mit UV-C-Strahlen nach Satz 1 Nummer 4 durchführen, müssen dafür Sorge tragen, dass nur Eier ohne sichtbare Verschmutzung der Oberfläche einer solchen Behandlung unterzogen werden.</w:t>
      </w:r>
    </w:p>
    <w:p>
      <w:r>
        <w:t xml:space="preserve">(5) Die bei der Entkeimung von Luft durch ultraviolette Strahlen auftretende indirekte Einwirkung auf Lebensmittel ist zugelassen.</w:t>
      </w:r>
    </w:p>
    <w:p>
      <w:r>
        <w:rPr>
          <w:color w:val="555555"/>
          <w:sz w:val="17"/>
        </w:rPr>
        <w:t xml:space="preserve">Zitiervorschlag: § 1 LMBestrV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https://recht.nulegal.eu/gesetze/LMBestrV%202000/1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