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LMBVV — (zu § 4 Absatz 2 Satz 1 Nummer 3) Wirkstoffe von Pflanzenschutz- und Schädlingsbekämpfungsmitteln, die bei Erzeugnissen, die zur Herstellung von Kräuter- und Früchtetee für Säuglinge oder Kleinkinder bestimmt sind, nicht angewendet werden dürfen</w:t>
      </w:r>
    </w:p>
    <w:p>
      <w:r>
        <w:rPr>
          <w:color w:val="555555"/>
          <w:sz w:val="18"/>
        </w:rPr>
        <w:t xml:space="preserve">Lebensmittel für bestimmte Verbrauchergruppen-Verordnung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(Fundstelle: BGBl. 2023 I Nr. 115, S. 10)</w:t>
      </w:r>
    </w:p>
    <w:p>
      <w:r>
        <w:rPr>
          <w:rFonts w:ascii="Courier New" w:hAnsi="Courier New"/>
          <w:sz w:val="17"/>
        </w:rPr>
        <w:t xml:space="preserve">Chemische Bezeichnung des Wirkstoffes (Muttersubstanz)[1]    </w:t>
      </w:r>
    </w:p>
    <w:p>
      <w:r>
        <w:rPr>
          <w:rFonts w:ascii="Courier New" w:hAnsi="Courier New"/>
          <w:sz w:val="17"/>
        </w:rPr>
        <w:t xml:space="preserve">Aldrin    </w:t>
      </w:r>
    </w:p>
    <w:p>
      <w:r>
        <w:rPr>
          <w:rFonts w:ascii="Courier New" w:hAnsi="Courier New"/>
          <w:sz w:val="17"/>
        </w:rPr>
        <w:t xml:space="preserve">Dieldrin    </w:t>
      </w:r>
    </w:p>
    <w:p>
      <w:r>
        <w:rPr>
          <w:rFonts w:ascii="Courier New" w:hAnsi="Courier New"/>
          <w:sz w:val="17"/>
        </w:rPr>
        <w:t xml:space="preserve">Disulfoton    </w:t>
      </w:r>
    </w:p>
    <w:p>
      <w:r>
        <w:rPr>
          <w:rFonts w:ascii="Courier New" w:hAnsi="Courier New"/>
          <w:sz w:val="17"/>
        </w:rPr>
        <w:t xml:space="preserve">Endrin    </w:t>
      </w:r>
    </w:p>
    <w:p>
      <w:r>
        <w:rPr>
          <w:rFonts w:ascii="Courier New" w:hAnsi="Courier New"/>
          <w:sz w:val="17"/>
        </w:rPr>
        <w:t xml:space="preserve">Fensulfothion    </w:t>
      </w:r>
    </w:p>
    <w:p>
      <w:r>
        <w:rPr>
          <w:rFonts w:ascii="Courier New" w:hAnsi="Courier New"/>
          <w:sz w:val="17"/>
        </w:rPr>
        <w:t xml:space="preserve">Fentin    </w:t>
      </w:r>
    </w:p>
    <w:p>
      <w:r>
        <w:rPr>
          <w:rFonts w:ascii="Courier New" w:hAnsi="Courier New"/>
          <w:sz w:val="17"/>
        </w:rPr>
        <w:t xml:space="preserve">Haloxyfop    </w:t>
      </w:r>
    </w:p>
    <w:p>
      <w:r>
        <w:rPr>
          <w:rFonts w:ascii="Courier New" w:hAnsi="Courier New"/>
          <w:sz w:val="17"/>
        </w:rPr>
        <w:t xml:space="preserve">Heptachlor    </w:t>
      </w:r>
    </w:p>
    <w:p>
      <w:r>
        <w:rPr>
          <w:rFonts w:ascii="Courier New" w:hAnsi="Courier New"/>
          <w:sz w:val="17"/>
        </w:rPr>
        <w:t xml:space="preserve">Hexachlorbenzen    </w:t>
      </w:r>
    </w:p>
    <w:p>
      <w:r>
        <w:rPr>
          <w:rFonts w:ascii="Courier New" w:hAnsi="Courier New"/>
          <w:sz w:val="17"/>
        </w:rPr>
        <w:t xml:space="preserve">Nitrofen    </w:t>
      </w:r>
    </w:p>
    <w:p>
      <w:r>
        <w:rPr>
          <w:rFonts w:ascii="Courier New" w:hAnsi="Courier New"/>
          <w:sz w:val="17"/>
        </w:rPr>
        <w:t xml:space="preserve">Omethoat    </w:t>
      </w:r>
    </w:p>
    <w:p>
      <w:r>
        <w:rPr>
          <w:rFonts w:ascii="Courier New" w:hAnsi="Courier New"/>
          <w:sz w:val="17"/>
        </w:rPr>
        <w:t xml:space="preserve">Terbufos    </w:t>
      </w:r>
    </w:p>
    <w:p>
      <w:r>
        <w:t xml:space="preserve">1 Es gilt die aktuelle Rückstandsdefinition gemäß der relevanten Anhänge II, III, IV oder V der Verordnung (EG) Nr. 396/2005 (die Rückstandsdefinition ist jeweils in Klammern hinter der Muttersubstanz angegeben).</w:t>
      </w:r>
    </w:p>
    <w:p>
      <w:r>
        <w:rPr>
          <w:color w:val="555555"/>
          <w:sz w:val="17"/>
        </w:rPr>
        <w:t xml:space="preserve">Zitiervorschlag: Anlage 2 LMBVV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https://recht.nulegal.eu/gesetze/LMBVV/anlage-2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