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1 LMBVV — (zu § 4 Absatz 2 Satz 1 Nummer 2)</w:t>
      </w:r>
    </w:p>
    <w:p>
      <w:r>
        <w:rPr>
          <w:color w:val="555555"/>
          <w:sz w:val="18"/>
        </w:rPr>
        <w:t xml:space="preserve">Lebensmittel für bestimmte Verbrauchergruppen-Verordnung</w:t>
      </w:r>
    </w:p>
    <w:p>
      <w:r>
        <w:rPr>
          <w:color w:val="555555"/>
          <w:sz w:val="18"/>
        </w:rPr>
        <w:t xml:space="preserve">Stand: 25.06.2023 (konsolidierte Textfassung, kein amtliches Inkrafttretensdatum)</w:t>
      </w:r>
    </w:p>
    <w:p>
      <w:r>
        <w:t xml:space="preserve">(Fundstelle: BGBl. 2023 I Nr. 115, S. 9)</w:t>
      </w:r>
    </w:p>
    <w:p>
      <w:r>
        <w:t xml:space="preserve">Spezifische Rückstandshöchstgehalte für Wirkstoffe aus Pflanzenschutz- und Schädlingsbekämpfungsmitteln in Kräuter- und Früchtetee für Säuglinge oder Kleinkinder</w:t>
      </w:r>
    </w:p>
    <w:p>
      <w:r>
        <w:rPr>
          <w:rFonts w:ascii="Courier New" w:hAnsi="Courier New"/>
          <w:sz w:val="17"/>
        </w:rPr>
        <w:t xml:space="preserve">Chemische Bezeichnung des Wirkstoffes (Muttersubstanz)[1]    Rückstandshöchstgehalt (mg/kg)</w:t>
      </w:r>
    </w:p>
    <w:p>
      <w:r>
        <w:rPr>
          <w:rFonts w:ascii="Courier New" w:hAnsi="Courier New"/>
          <w:sz w:val="17"/>
        </w:rPr>
        <w:t xml:space="preserve">Cadusafos    0,006</w:t>
      </w:r>
    </w:p>
    <w:p>
      <w:r>
        <w:rPr>
          <w:rFonts w:ascii="Courier New" w:hAnsi="Courier New"/>
          <w:sz w:val="17"/>
        </w:rPr>
        <w:t xml:space="preserve">Demeton-S-methyl    </w:t>
      </w:r>
    </w:p>
    <w:p>
      <w:r>
        <w:rPr>
          <w:rFonts w:ascii="Courier New" w:hAnsi="Courier New"/>
          <w:sz w:val="17"/>
        </w:rPr>
        <w:t xml:space="preserve">Demeton-S-methyl-sulfon    0,006</w:t>
      </w:r>
    </w:p>
    <w:p>
      <w:r>
        <w:rPr>
          <w:rFonts w:ascii="Courier New" w:hAnsi="Courier New"/>
          <w:sz w:val="17"/>
        </w:rPr>
        <w:t xml:space="preserve">Oxydemeton-methyl    </w:t>
      </w:r>
    </w:p>
    <w:p>
      <w:r>
        <w:rPr>
          <w:rFonts w:ascii="Courier New" w:hAnsi="Courier New"/>
          <w:sz w:val="17"/>
        </w:rPr>
        <w:t xml:space="preserve">Ethoprophos    0,008</w:t>
      </w:r>
    </w:p>
    <w:p>
      <w:r>
        <w:rPr>
          <w:rFonts w:ascii="Courier New" w:hAnsi="Courier New"/>
          <w:sz w:val="17"/>
        </w:rPr>
        <w:t xml:space="preserve">Fipronil    0,004</w:t>
      </w:r>
    </w:p>
    <w:p>
      <w:r>
        <w:rPr>
          <w:rFonts w:ascii="Courier New" w:hAnsi="Courier New"/>
          <w:sz w:val="17"/>
        </w:rPr>
        <w:t xml:space="preserve">Propineb    0,006</w:t>
      </w:r>
    </w:p>
    <w:p>
      <w:r>
        <w:t xml:space="preserve">1 Es gilt die aktuelle Rückstandsdefinition gemäß der relevanten Anhänge II, III, IV oder V der Verordnung (EG) Nr. 396/2005 (die Rückstandsdefinition ist jeweils in Klammern hinter der Muttersubstanz angegeben).</w:t>
      </w:r>
    </w:p>
    <w:p>
      <w:r>
        <w:rPr>
          <w:color w:val="555555"/>
          <w:sz w:val="17"/>
        </w:rPr>
        <w:t xml:space="preserve">Zitiervorschlag: Anlage 1 LMBVV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https://recht.nulegal.eu/gesetze/LMBVV/anlage-1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