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LMBVV — Besondere Anforderungen an Säuglingsanfangsnahrung, Folgenahrung und Lebensmittel für besondere medizinische Zwecke, die für die Ernährungsanforderungen von Säuglingen oder Kleinkindern entwickelt wurden</w:t>
      </w:r>
    </w:p>
    <w:p>
      <w:r>
        <w:rPr>
          <w:color w:val="555555"/>
          <w:sz w:val="18"/>
        </w:rPr>
        <w:t xml:space="preserve">Lebensmittel für bestimmte Verbrauchergruppen-Verordnung</w:t>
      </w:r>
    </w:p>
    <w:p>
      <w:r>
        <w:rPr>
          <w:color w:val="555555"/>
          <w:sz w:val="18"/>
        </w:rPr>
        <w:t xml:space="preserve">Stand: 25.06.2023 (konsolidierte Textfassung, kein amtliches Inkrafttretensdatum)</w:t>
      </w:r>
    </w:p>
    <w:p>
      <w:r>
        <w:t xml:space="preserve">(1) Säuglingsanfangsnahrung, Folgenahrung und Lebensmittel für besondere medizinische Zwecke, die für die Ernährungsanforderungen von Säuglingen oder Kleinkindern entwickelt wurden, dürfen an Rückständen von anderen gesundheitlich bedenklichen Stoffen als Wirkstoffen aus Pflanzenschutzmitteln sowie an Rückständen von Wirkstoffen oder anderen gesundheitlich bedenklichen Stoffen aus Schädlingsbekämpfungsmitteln jeweils nicht mehr als 0,01 Milligramm pro Kilogramm enthalten. Satz 1 gilt nur, soweit andere lebensmittelrechtliche Vorschriften keine niedrigeren Werte festlegen.</w:t>
      </w:r>
    </w:p>
    <w:p>
      <w:r>
        <w:t xml:space="preserve">(2) Die Rückstandshöchstgehalte nach Absatz 1 beziehen sich auf das verzehrfertig angebotene oder nach den Anweisungen des Herstellers zubereitete Lebensmittel.</w:t>
      </w:r>
    </w:p>
    <w:p>
      <w:r>
        <w:rPr>
          <w:color w:val="555555"/>
          <w:sz w:val="17"/>
        </w:rPr>
        <w:t xml:space="preserve">Zitiervorschlag: § 6 LMBVV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https://recht.nulegal.eu/gesetze/LMBVV/6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