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LMBVV — Besondere Anforderungen an die Herstellung von Kräuter- und Früchtetee für Säuglinge oder Kleinkinder</w:t>
      </w:r>
    </w:p>
    <w:p>
      <w:r>
        <w:rPr>
          <w:color w:val="555555"/>
          <w:sz w:val="18"/>
        </w:rPr>
        <w:t xml:space="preserve">Lebensmittel für bestimmte Verbrauchergruppen-Verordnung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Bei der Herstellung von Kräuter- und Früchtetee für Säuglinge oder Kleinkinder dürfen nicht verwendet werden:</w:t>
      </w:r>
    </w:p>
    <w:p>
      <w:pPr>
        <w:ind w:left="420"/>
      </w:pPr>
      <w:r>
        <w:t xml:space="preserve">1. Zucker gemäß Artikel 2 Absatz 4 in Verbindung mit Anhang I Nummer 8 der Verordnung (EU) Nr. 1169/2011 des Europäischen Parlaments und des Rates vom 25. Oktober 2011 betreffend die Information der Verbraucher über Lebensmittel und zur Änderung der Verordnungen (EG) Nr. 1924/2006 und (EG) Nr. 1925/2006 des Europäischen Parlaments und des Rates und zur Aufhebung der Richtlinie 87/250/EWG der Kommission, der Richtlinie 90/496/EWG des Rates, der Richtlinie 1999/10/EG der Kommission, der Richtlinie 2000/13/EG des Europäischen Parlaments und des Rates, der Richtlinien 2002/67/EG und 2008/5/EG der Kommission und der Verordnung (EG) Nr. 608/2004 der Kommission (ABl. L 304 vom 22.11.2011, S. 18; L 331 vom 18.11.2014, S. 41; L 50 vom 21.2.2015, S. 48; L 266 vom 30.9.2016, S. 7), die zuletzt durch die Verordnung (EU) 2015/2283 (ABl. L 327 vom 11.12.2015, S. 1) geändert worden ist,</w:t>
      </w:r>
    </w:p>
    <w:p>
      <w:pPr>
        <w:ind w:left="420"/>
      </w:pPr>
      <w:r>
        <w:t xml:space="preserve">2. Honig,</w:t>
      </w:r>
    </w:p>
    <w:p>
      <w:pPr>
        <w:ind w:left="420"/>
      </w:pPr>
      <w:r>
        <w:t xml:space="preserve">3. Malzextrakt oder andere aus pflanzlichen Rohstoffen gewonnene Sirupe oder Dicksäfte und</w:t>
      </w:r>
    </w:p>
    <w:p>
      <w:pPr>
        <w:ind w:left="420"/>
      </w:pPr>
      <w:r>
        <w:t xml:space="preserve">4. Erzeugnisse nach Anlage 1 der Fruchtsaft-, Erfrischungsgetränke- und Teeverordnung vom 24. Mai 2004 (BGBl. I S. 1016), die zuletzt durch Artikel 1 der Verordnung vom 18. Mai 2020 (BGBl. I S. 1075) geändert worden ist.</w:t>
      </w:r>
    </w:p>
    <w:p>
      <w:r>
        <w:t xml:space="preserve">(2) Kräuter- und Früchtetee für Säuglinge oder Kleinkinder dürfen</w:t>
      </w:r>
    </w:p>
    <w:p>
      <w:pPr>
        <w:ind w:left="420"/>
      </w:pPr>
      <w:r>
        <w:t xml:space="preserve">1. an Rückständen von Wirkstoffen oder anderen gesundheitlich bedenklichen Stoffen aus Pflanzenschutz- und Schädlingsbekämpfungsmitteln vorbehaltlich der Nummern 2 und 3 jeweils nicht mehr als 0,01 Milligramm pro Kilogramm enthalten,</w:t>
      </w:r>
    </w:p>
    <w:p>
      <w:pPr>
        <w:ind w:left="420"/>
      </w:pPr>
      <w:r>
        <w:t xml:space="preserve">2. an Rückständen von den in Anlage 1 aufgeführten Wirkstoffen nicht mehr als die dort jeweils genannten Höchstmengen enthalten,</w:t>
      </w:r>
    </w:p>
    <w:p>
      <w:pPr>
        <w:ind w:left="420"/>
      </w:pPr>
      <w:r>
        <w:t xml:space="preserve">3. nicht aus Erzeugnissen hergestellt werden, bei deren Herstellung Pflanzenschutz- und Schädlingsbekämpfungsmittel angewendet wurden, die in Anlage 2 aufgeführte Wirkstoffe enthalten.</w:t>
      </w:r>
    </w:p>
    <w:p>
      <w:r>
        <w:t xml:space="preserve">Satz 1 Nummer 1 und 2 gelten nur, soweit andere lebensmittelrechtliche Vorschriften keine niedrigeren Werte festlegen. Die in Satz 1 Nummer 3 genannten Pflanzenschutz- und Schädlingsbekämpfungsmittel gelten als nicht verwendet, wenn ihre Rückstände einen Gehalt von 0,003 Milligramm pro Kilogramm nicht überschreiten.</w:t>
      </w:r>
    </w:p>
    <w:p>
      <w:r>
        <w:t xml:space="preserve">(3) Die Rückstandshöchstgehalte nach Absatz 2 beziehen sich auf das verzehrfertig angebotene oder nach den Anweisungen des Herstellers zubereitete Lebensmittel.</w:t>
      </w:r>
    </w:p>
    <w:p>
      <w:r>
        <w:rPr>
          <w:color w:val="555555"/>
          <w:sz w:val="17"/>
        </w:rPr>
        <w:t xml:space="preserve">Zitiervorschlag: § 4 LMBVV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https://recht.nulegal.eu/gesetze/LMBVV/4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