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LMBVV — Zuständige Behörde und Anzeige des Inverkehrbringens</w:t>
      </w:r>
    </w:p>
    <w:p>
      <w:r>
        <w:rPr>
          <w:color w:val="555555"/>
          <w:sz w:val="18"/>
        </w:rPr>
        <w:t xml:space="preserve">Lebensmittel für bestimmte Verbrauchergruppen-Verordnung</w:t>
      </w:r>
    </w:p>
    <w:p>
      <w:r>
        <w:rPr>
          <w:color w:val="555555"/>
          <w:sz w:val="18"/>
        </w:rPr>
        <w:t xml:space="preserve">Stand: 25.06.2023 (konsolidierte Textfassung, kein amtliches Inkrafttretensdatum)</w:t>
      </w:r>
    </w:p>
    <w:p>
      <w:r>
        <w:t xml:space="preserve">(1) Das Bundesamt für Verbraucherschutz und Lebensmittelsicherheit (Bundesamt) ist die zuständige Behörde für die Entgegennahme von Anzeigen nach</w:t>
      </w:r>
    </w:p>
    <w:p>
      <w:pPr>
        <w:ind w:left="420"/>
      </w:pPr>
      <w:r>
        <w:t xml:space="preserve">1. Artikel 12 Absatz 1 der Delegierten Verordnung (EU) 2016/127 der Kommission vom 25. September 2015 zur Ergänzung der Verordnung (EU) Nr. 609/2013 des Europäischen Parlaments und des Rates im Hinblick auf die besonderen Zusammensetzungs- und Informationsanforderungen für Säuglingsanfangsnahrung und Folgenahrung und hinsichtlich der Informationen, die bezüglich der Ernährung von Säuglingen und Kleinkindern bereitzustellen sind (ABl. L 25 vom 2.2.2016, S. 1; L 257 vom 23.9.2016, S. 17), die zuletzt durch die Delegierte Verordnung (EU) 2023/589 (ABl. L 79 vom 17.3.2023, S. 40) geändert worden ist, anlässlich des Inverkehrbringens von Säuglingsanfangsnahrung im Sinne des Artikels 2 Absatz 2 Buchstabe c der Verordnung (EU) Nr. 609/2013,</w:t>
      </w:r>
    </w:p>
    <w:p>
      <w:pPr>
        <w:ind w:left="420"/>
      </w:pPr>
      <w:r>
        <w:t xml:space="preserve">2. Artikel 12 Absatz 2 Alternative 1 der Delegierten Verordnung (EU) 2016/127 anlässlich des Inverkehrbringens von aus Proteinhydrolysaten hergestellter Folgenahrung im Sinne des Artikels 2 Absatz 2 Buchstabe d der Verordnung (EU) Nr. 609/2013,</w:t>
      </w:r>
    </w:p>
    <w:p>
      <w:pPr>
        <w:ind w:left="420"/>
      </w:pPr>
      <w:r>
        <w:t xml:space="preserve">3. Artikel 12 Absatz 2 Alternative 2 der Delegierten Verordnung (EU) 2016/127 anlässlich des Inverkehrbringens von Folgenahrung im Sinne des Artikels 2 Absatz 2 Buchstabe d der Verordnung (EU) Nr. 609/2013, die andere als in Anhang II der Delegierten Verordnung (EU) 2016/127 aufgeführte Stoffe enthält,</w:t>
      </w:r>
    </w:p>
    <w:p>
      <w:pPr>
        <w:ind w:left="420"/>
      </w:pPr>
      <w:r>
        <w:t xml:space="preserve">4. Artikel 9 der Delegierten Verordnung (EU) 2016/128 der Kommission vom 25. September 2015 zur Ergänzung der Verordnung (EU) Nr. 609/2013 des Europäischen Parlaments und des Rates im Hinblick auf die besonderen Zusammensetzungs- und Informationsanforderungen für Lebensmittel für besondere medizinische Zwecke (ABl. L 25 vom 2.2.2016, S. 30), die zuletzt durch die Delegierte Verordnung (EU) 2021/1040 (ABl. L 225 vom 25.6.2021, S. 1) geändert worden ist, anlässlich des Inverkehrbringens von Lebensmitteln für besondere medizinische Zwecke im Sinne des Artikels 2 Absatz 2 Buchstabe g der Verordnung (EU) Nr. 609/2013 sowie</w:t>
      </w:r>
    </w:p>
    <w:p>
      <w:pPr>
        <w:ind w:left="420"/>
      </w:pPr>
      <w:r>
        <w:t xml:space="preserve">5. Artikel 7 der Delegierten Verordnung (EU) 2017/1798 der Kommission vom 2. Juni 2017 zur Ergänzung der Verordnung (EU) Nr. 609/2013 des Europäischen Parlaments und des Rates hinsichtlich der besonderen Zusammensetzungs- und Informationsanforderungen an Tagesrationen für gewichtskontrollierende Ernährung (ABl. L 259 vom 7.10.2017, S. 2), die zuletzt durch die Delegierte Verordnung (EU) 2022/2182 (ABl. L 288 vom 9.11.2022, S. 18), geändert worden ist, anlässlich des Inverkehrbringens von Tagesrationen für gewichtskontrollierende Ernährung im Sinne des Artikels 2 Absatz 2 Buchstabe h der Verordnung (EU) Nr. 609/2013.</w:t>
      </w:r>
    </w:p>
    <w:p>
      <w:r>
        <w:t xml:space="preserve">(2) Das Bundesamt hat festzulegen, in welcher Art und Weise die Anzeigen zu übermitteln sind.</w:t>
      </w:r>
    </w:p>
    <w:p>
      <w:r>
        <w:t xml:space="preserve">(3) Wurde ein in Absatz 1 genanntes Lebensmittel bereits in einem anderen Mitgliedstaat der Europäischen Union in den Verkehr gebracht, so ist in der Anzeige auch die Behörde des Mitgliedstaates anzugeben, bei der die erste Anzeige erfolgt ist.</w:t>
      </w:r>
    </w:p>
    <w:p>
      <w:r>
        <w:t xml:space="preserve">(4) Das Bundesamt hat die Anzeige unverzüglich dem Bundesministerium für Ernährung und Landwirtschaft und den für die Lebensmittelüberwachung zuständigen obersten Landesbehörden zu übermitteln.</w:t>
      </w:r>
    </w:p>
    <w:p>
      <w:r>
        <w:rPr>
          <w:color w:val="555555"/>
          <w:sz w:val="17"/>
        </w:rPr>
        <w:t xml:space="preserve">Zitiervorschlag: § 3 LMBVV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https://recht.nulegal.eu/gesetze/LMBVV/3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