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LMBVV — Begriffsbestimmungen</w:t>
      </w:r>
    </w:p>
    <w:p>
      <w:r>
        <w:rPr>
          <w:color w:val="555555"/>
          <w:sz w:val="18"/>
        </w:rPr>
        <w:t xml:space="preserve">Lebensmittel für bestimmte Verbrauchergruppen-Verordnung</w:t>
      </w:r>
    </w:p>
    <w:p>
      <w:r>
        <w:rPr>
          <w:color w:val="555555"/>
          <w:sz w:val="18"/>
        </w:rPr>
        <w:t xml:space="preserve">Stand: 25.06.2023 (konsolidierte Textfassung, kein amtliches Inkrafttretensdatum)</w:t>
      </w:r>
    </w:p>
    <w:p>
      <w:r>
        <w:t xml:space="preserve">Im Sinne dieser Verordnung sind Kräuter- und Früchtetee für Säuglinge oder Kleinkinder:</w:t>
      </w:r>
    </w:p>
    <w:p>
      <w:pPr>
        <w:ind w:left="420"/>
      </w:pPr>
      <w:r>
        <w:t xml:space="preserve">1. Kräuter- oder Früchtetee, Extrakte aus Kräuter- oder Früchtetee oder Zubereitungen aus Lebensmitteln mit Extrakten aus Kräuter- oder Früchtetee, die, damit sie sich für den Verzehr eignen, noch mit Wasser zubereitet werden müssen und die nach ihrer Bezeichnung, nach ihren sonstigen Angaben oder Bildzeichen auf der Verpackung oder auf einem an der Verpackung befestigten Etikett, nach ihrer Aufmachung, ihrem Aussehen oder nach werblichen Aussagen ausschließlich oder unter anderem zum Verzehr im Säuglings- und Kleinkindalter bestimmt sind, sowie</w:t>
      </w:r>
    </w:p>
    <w:p>
      <w:pPr>
        <w:ind w:left="420"/>
      </w:pPr>
      <w:r>
        <w:t xml:space="preserve">2. verzehrfertige Getränke, die aus Kräuter- oder Früchtetee, deren Extrakten oder Zubereitungen hergestellt worden sind, und die nach ihrer Bezeichnung, nach ihren sonstigen Angaben oder Bildzeichen auf der Verpackung oder auf einem an der Verpackung befestigten Etikett, nach ihrer Aufmachung, ihrem Aussehen oder nach werblichen Aussagen ausschließlich oder unter anderem zum Verzehr im Säuglings- und Kleinkindalter bestimmt sind.</w:t>
      </w:r>
    </w:p>
    <w:p>
      <w:r>
        <w:t xml:space="preserve">Im Übrigen sind die Begriffsbestimmungen des Artikels 2 der Verordnung (EU) Nr. 609/2013 anzuwenden.</w:t>
      </w:r>
    </w:p>
    <w:p>
      <w:r>
        <w:rPr>
          <w:color w:val="555555"/>
          <w:sz w:val="17"/>
        </w:rPr>
        <w:t xml:space="preserve">Zitiervorschlag: § 2 LMBVV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