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LMBVV — Übergangsregelungen aus Anlass dieser Verordnung</w:t>
      </w:r>
    </w:p>
    <w:p>
      <w:r>
        <w:rPr>
          <w:color w:val="555555"/>
          <w:sz w:val="18"/>
        </w:rPr>
        <w:t xml:space="preserve">Lebensmittel für bestimmte Verbrauchergruppen-Verordnung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Solange und soweit noch nicht ein unmittelbar geltender delegierter Rechtsakt der Europäischen Union auf Grundlage des Artikels 11 Absatz 1 Buchstabe a bis d oder f der Verordnung (EU) Nr. 609/2013 gilt oder entsprechende bundesrechtliche Vorschriften erlassen sind, sind auf Getreidebeikost und andere Beikost folgende Vorschriften der Diätverordnung in der Fassung der Bekanntmachung vom 28. April 2005 (BGBl. I S. 1161), die zuletzt durch Artikel 2 der Verordnung vom 2. Juni 2021 (BGBl. I S. 1362) geändert worden ist, in der bis zum Ablauf des 28. April 2023 geltenden Fassung weiterhin anzuwenden:</w:t>
      </w:r>
    </w:p>
    <w:p>
      <w:pPr>
        <w:ind w:left="420"/>
      </w:pPr>
      <w:r>
        <w:t xml:space="preserve">1. § 7b Satz 3 und 4,</w:t>
      </w:r>
    </w:p>
    <w:p>
      <w:pPr>
        <w:ind w:left="420"/>
      </w:pPr>
      <w:r>
        <w:t xml:space="preserve">2. § 11,</w:t>
      </w:r>
    </w:p>
    <w:p>
      <w:pPr>
        <w:ind w:left="420"/>
      </w:pPr>
      <w:r>
        <w:t xml:space="preserve">3. § 14 Absatz 1 in Verbindung mit Anlage 22 und Anlage 23 und Absatz 2 Nummer 1, 2 und 4,</w:t>
      </w:r>
    </w:p>
    <w:p>
      <w:pPr>
        <w:ind w:left="420"/>
      </w:pPr>
      <w:r>
        <w:t xml:space="preserve">4. § 14d Absatz 3 in Verbindung mit Anlage 18, Absatz 4 in Verbindung mit Anlage 19 und Absatz 5 in Verbindung mit Anlage 20,</w:t>
      </w:r>
    </w:p>
    <w:p>
      <w:pPr>
        <w:ind w:left="420"/>
      </w:pPr>
      <w:r>
        <w:t xml:space="preserve">5. § 22b Absatz 1 und 2, Absatz 3 in Verbindung mit Anlage 9 und Absatz 4 in Verbindung mit Anlage 21,</w:t>
      </w:r>
    </w:p>
    <w:p>
      <w:pPr>
        <w:ind w:left="420"/>
      </w:pPr>
      <w:r>
        <w:t xml:space="preserve">6. § 25 Absatz 1 Nummer 1 und</w:t>
      </w:r>
    </w:p>
    <w:p>
      <w:pPr>
        <w:ind w:left="420"/>
      </w:pPr>
      <w:r>
        <w:t xml:space="preserve">7. § 26 Absatz 1 Nummer 2 Buchstabe d und i, Nummer 4, Absatz 2 Nummer 3, Absatz 6, 7 Nummer 1 Buchstabe e sowie Nummer 2.</w:t>
      </w:r>
    </w:p>
    <w:p>
      <w:r>
        <w:t xml:space="preserve">(2) Auf Sachverhalte, die vor dem 29. April 2023 entstanden sind, sind die Vorschriften der Diätverordnung in der Fassung der Bekanntmachung vom 28. April 2005 (BGBl. I S. 1161), die zuletzt durch Artikel 2 der Verordnung vom 2. Juni 2021 (BGBl. I S. 1362) geändert worden ist, in der bis zum Ablauf des 28. April 2023 geltenden Fassung hinsichtlich der Verfolgung von Straftaten und Ordnungswidrigkeiten weiterhin anzuwenden.</w:t>
      </w:r>
    </w:p>
    <w:p>
      <w:r>
        <w:rPr>
          <w:color w:val="555555"/>
          <w:sz w:val="17"/>
        </w:rPr>
        <w:t xml:space="preserve">Zitiervorschlag: § 11 LMBVV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https://recht.nulegal.eu/gesetze/LMBVV/11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