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LKrWG (Nordrhein-Westfalen) — Vermeidung und Verwertung von Bau- und Abbruchabfällen</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Konstruktion und der Materialauswahl zur Errichtung baulicher Anlagen soll darauf geachtet werden, dass die nach dem Ende der Nutzungsphase beim Rückbau und Abbruch der Anlagen anfallenden Abfälle verwertet werden können, soweit dies technisch möglich und wirtschaftlich zumutbar ist.</w:t>
      </w:r>
    </w:p>
    <w:p>
      <w:r>
        <w:t xml:space="preserve">(2) Bei der Errichtung und beim Abbruch baulicher Anlagen ist sicherzustellen, dass die dabei anfallenden Abfälle möglichst hochwertig verwertet werden, soweit dies technisch möglich und wirtschaftlich zumutbar ist.</w:t>
      </w:r>
    </w:p>
    <w:p>
      <w:r>
        <w:t xml:space="preserve">(3) Der Abfallerzeuger hat für Baumaßnahmen mit einem zu erwartenden Anfall von Bau- und Abbruchabfällen einschließlich Bodenmaterial von insgesamt mehr als 500 m3 ein Entsorgungskonzept zu erstellen. Art, Menge und beabsichtigter Verbleib der gemäß § 8 Absatz 1 der Gewerbeabfallverordnung getrennt zu sammelnden Bau- und Abbruchabfälle sowie der beabsichtigte Verbleib anfallenden Bodenmaterials sind im Entsorgungskonzept darzustellen. Werden schadstoffhaltige Bauteile oder Baustoffe angetroffen, so sind Art, Menge und Verbleib schadstoffhaltiger Abfälle ebenfalls zu dokumentieren. Das Entsorgungskonzept ist der örtlich zuständigen Abfallwirtschaftsbehörde auf Verlangen vorzulegen.</w:t>
      </w:r>
    </w:p>
    <w:p>
      <w:r>
        <w:rPr>
          <w:color w:val="555555"/>
          <w:sz w:val="17"/>
        </w:rPr>
        <w:t xml:space="preserve">Zitiervorschlag: § 2a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