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LKrWG (Nordrhein-Westfalen) — Durchführung des Gesetzes</w:t>
      </w:r>
    </w:p>
    <w:p>
      <w:r>
        <w:rPr>
          <w:color w:val="555555"/>
          <w:sz w:val="18"/>
        </w:rPr>
        <w:t xml:space="preserve">Landeskreislaufwirtschaftsgesetz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Ministerium erlässt im Einvernehmen mit den beteiligten Ministerien die zur Durchführung des Abfallgesetzes und dieses Gesetzes erforderlichen Verwaltungsvorschriften.</w:t>
      </w:r>
    </w:p>
    <w:p>
      <w:r>
        <w:rPr>
          <w:color w:val="555555"/>
          <w:sz w:val="17"/>
        </w:rPr>
        <w:t xml:space="preserve">Zitiervorschlag: § 28 LKrWG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https://recht.nulegal.eu/gesetze/LKrWG/28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