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LKrWG (Nordrhein-Westfalen) — Verfahren bei Entschädigung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nach § 14 Absatz 3 zu leistende Entschädigung, für den nach § 34 Absatz 3 des Kreislaufwirtschaftsgesetzes in Verbindung mit § 13 Absatz 4 oder nach § 16 Absatz 5 zu leistenden Ersatz, für das nach § 29 Absatz 1 Satz 2 des Kreislaufwirtschaftsgesetzes festzusetzende Entgelt, für die nach § 29 Absatz 3 Satz 3 des Kreislaufwirtschaftsgesetzes zu bestimmende Verpflichtung und für die nach § 36 Absatz 2 Satz 3 des Kreislaufwirtschaftsgesetzes zu leistende Entschädigung sind die Vorschriften des Landesenteignungs- und -entschädigungsgesetz vom 20. Juni 1989 (GV. NRW. S. 366 ber. S. 570), zuletzt geändert durch Gesetz vom 2. Oktober 2014 (GV. NRW. S. 622), anzuwenden.</w:t>
      </w:r>
    </w:p>
    <w:p>
      <w:r>
        <w:t xml:space="preserve">Teil 8</w:t>
      </w:r>
    </w:p>
    <w:p>
      <w:r>
        <w:t xml:space="preserve">Bußgeldvorschriften</w:t>
      </w:r>
    </w:p>
    <w:p>
      <w:r>
        <w:rPr>
          <w:color w:val="555555"/>
          <w:sz w:val="17"/>
        </w:rPr>
        <w:t xml:space="preserve">Zitiervorschlag: § 25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