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LKrWG (Nordrhein-Westfalen) — Pflichten der öffentlichen Hand</w:t>
      </w:r>
    </w:p>
    <w:p>
      <w:r>
        <w:rPr>
          <w:color w:val="555555"/>
          <w:sz w:val="18"/>
        </w:rPr>
        <w:t xml:space="preserve">Landeskreislaufwirtschaftsgesetz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Dienststellen des Landes, die Gemeinden und Gemeindeverbände sowie die sonstigen der Aufsicht des Landes unterstehenden Körperschaften, Anstalten und Stiftungen des öffentlichen Rechts sind verpflichtet, durch ihr Verhalten zur Erfüllung der Ziele dieses Gesetzes beizutragen. Insbesondere haben sie bei der Beschaffung oder Verwendung von Arbeitsmaterialien, Ge- und Verbrauchsgütern, bei Bauvorhaben und sonstigen Aufträgen sowie bei der Gestaltung von Arbeitsabläufen, ohne damit Rechtsansprüche Dritter zu begründen, Erzeugnissen den Vorzug zu geben, die</w:t>
      </w:r>
    </w:p>
    <w:p>
      <w:r>
        <w:t xml:space="preserve">1. In rohstoffschonenden, energiesparenden, wassersparenden, schadstoffarmen oder abfallarmen Produktionsverfahren hergestellt worden sind,</w:t>
      </w:r>
    </w:p>
    <w:p>
      <w:r>
        <w:t xml:space="preserve">2. durch Vorbereitung zur Wiederverwendung oder durch Recycling von Abfällen, insbesondere unter Einsatz von Rezyklaten oder aus nachwachsenden Rohstoffen hergestellt worden sind,</w:t>
      </w:r>
    </w:p>
    <w:p>
      <w:r>
        <w:t xml:space="preserve">3. sich durch Langlebigkeit, Reparaturfreundlichkeit, Wiederverwendbarkeit und Wiederverwertbarkeit auszeichnen,</w:t>
      </w:r>
    </w:p>
    <w:p>
      <w:r>
        <w:t xml:space="preserve">4. im Vergleich zu anderen Erzeugnissen zu weniger oder schadstoffärmeren Abfällen führen,</w:t>
      </w:r>
    </w:p>
    <w:p>
      <w:r>
        <w:t xml:space="preserve">5. eine weitgehende Trennung in die Ausgangsstoffe ermöglichen oder</w:t>
      </w:r>
    </w:p>
    <w:p>
      <w:r>
        <w:t xml:space="preserve">6. sich in besonderem Maße zur hochwertigen, ordnungsgemäßen und schadlosen Verwertung oder umweltverträglichen Abfallbewirtschaftung eignen.</w:t>
      </w:r>
    </w:p>
    <w:p>
      <w:r>
        <w:t xml:space="preserve">(2) Ergänzend zu Absatz 1 sind zur Gewährleistung eines hochwertigen Recyclings im Rahmen der Kreislaufführung mineralischer Bauabfälle nicht unerhebliche Baumaßnahmen der öffentlichen Hand im Hochbau so zu planen, dass geeignete und qualitätsgesicherte rezyklierte Gesteinskörnungen insbesondere in Recyclingbeton gleichberechtigt mit Baustoffen eingesetzt werden können, die auf der Basis des Einsatzes von Primärrohstoffen hergestellt wurden. Satz 1 findet entsprechende Anwendung auf andere zulässige wiederverwendbare Bauprodukte im Hochbau, die unter Einsatz von Stoffen aus industriellen Prozessen hergestellt werden, sofern sichergestellt ist, dass diese Bauprodukte die für die jeweilige Verwendung anzuwendenden Produkt-, Umwelt- und Gesundheitsschutzanforderungen erfüllen und insgesamt nicht zu schädlichen Auswirkungen auf Mensch und Umwelt führen.</w:t>
      </w:r>
    </w:p>
    <w:p>
      <w:r>
        <w:t xml:space="preserve">Satz 1 findet auf mineralische Ersatzbaustoffe im Tiefbau entsprechende Anwendung, soweit diese nach der Verordnung über Anforderungen an den Einbau von mineralischen Ersatzbaustoffen in technische Bauwerke (Ersatzbaustoffverordnung) Verwendung finden können.</w:t>
      </w:r>
    </w:p>
    <w:p>
      <w:r>
        <w:t xml:space="preserve">(3) Die Pflichten nach den Absätzen 1 und 2 bestehen nur, sofern die Einhaltung aller stofflichen Anforderungen für den vorgesehenen Verwendungszweck durch den Hersteller sichergestellt ist, keine wesentlichen Mehrkosten entstehen und keine anderen Rechtsvorschriften entgegenstehen. Rechtsansprüche Dritter werden nicht begründet.</w:t>
      </w:r>
    </w:p>
    <w:p>
      <w:r>
        <w:t xml:space="preserve">(4) Die in Absatz 1 Satz 1 genannten Stellen wirken auf alle juristischen Personen des privaten Rechts ein, an denen sie beteiligt sind, damit sie in gleicher Weise verfahren. Sie sollen Dritte zu einer Handhabung entsprechend Absatz 1 Satz 2 und Absatz 2 verpflichten, wenn sie diesen ihre Einrichtungen oder Grundstücke zur Verfügung stellen. Gemeinden und Gemeindeverbände können diese Verpflichtung Dritter durch Benutzungssatzung oder Benutzungsvertrag regeln.</w:t>
      </w:r>
    </w:p>
    <w:p>
      <w:r>
        <w:t xml:space="preserve">(5) Die Behörden des Landes, die Gemeinden, die Landkreise und die sonstigen der Aufsicht des Landes unterstehenden Körperschaften, Anstalten und Stiftungen des öffentlichen Rechts wirken auf alle juristischen Personen des Privatrechts ein, an denen sie beteiligt sind, damit diese die Pflichten nach der Gewerbeabfallverordnung vom 18. April 2017 (BGBl. 1 S. 896) in der jeweils geltenden Fassung einhalten.</w:t>
      </w:r>
    </w:p>
    <w:p>
      <w:r>
        <w:rPr>
          <w:color w:val="555555"/>
          <w:sz w:val="17"/>
        </w:rPr>
        <w:t xml:space="preserve">Zitiervorschlag: § 2 LKrWG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https://recht.nulegal.eu/gesetze/LKrWG/2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