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LKrWG (Nordrhein-Westfalen) — Kosten der Überwachung</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Kosten der Überwachung sind den Betreibern von Anlagen, in denen Abfälle erzeugt, behandelt oder entsorgt werden, auch wenn diese Anlagen stillgelegt sind, aufzuerlegen, soweit sich die Überwachung auf die Einhaltung ihrer Pflichten bezieht; dies gilt auch für die Kosten von notwendigen Sachverständigen oder sachverständigen Stellen. In den sonstigen Fällen trägt der Überwachte die Kosten, wenn die Überwachung ergibt, dass von ihm abfallrechtliche Vorschriften und Verpflichtungen nicht erfüllt worden sind.</w:t>
      </w:r>
    </w:p>
    <w:p>
      <w:r>
        <w:t xml:space="preserve">(2) Soweit der nach Absatz 1 Verantwortliche Eigentümer des Grundstücks ist, auf dem sich die Anlage befindet, werden die Kosten der Überwachung nach Absatz 1 von den Kostenpflichtigen in ihrer Eigenschaft als Grundstückseigentümer erhoben. Satz 1 gilt entsprechend, wenn der nach Absatz 1 Verantwortliche Erbbauberechtigter ist. In diesen Fällen ruhen die Kosten als öffentliche Last auf dem Grundstück oder dem Erbbaurecht.</w:t>
      </w:r>
    </w:p>
    <w:p>
      <w:r>
        <w:rPr>
          <w:color w:val="555555"/>
          <w:sz w:val="17"/>
        </w:rPr>
        <w:t xml:space="preserve">Zitiervorschlag: § 19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