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LKrWG (Nordrhein-Westfalen) — Enteignung nach Planfeststellung</w:t>
      </w:r>
    </w:p>
    <w:p>
      <w:r>
        <w:rPr>
          <w:color w:val="555555"/>
          <w:sz w:val="18"/>
        </w:rPr>
        <w:t xml:space="preserve">Landeskreislaufwirtschaftsgesetz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Ausführung eines vollziehbaren Planfeststellungsbeschlusses nach § 74 Abs. 1 oder 3 VwVfG.NW. haben die öffentlich-rechtlichen Entsorgungsträger oder der Träger der Maßnahme das Enteignungsrecht.</w:t>
      </w:r>
    </w:p>
    <w:p>
      <w:r>
        <w:t xml:space="preserve">(2) Der festgestellte Plan ist dem Enteignungsverfahren zu Grunde zu legen und für die Enteignungsbehörde bindend. Das Landesenteignungs- und -entschädigungsgesetz (EEG NW) ist anzuwenden.</w:t>
      </w:r>
    </w:p>
    <w:p>
      <w:r>
        <w:rPr>
          <w:color w:val="555555"/>
          <w:sz w:val="17"/>
        </w:rPr>
        <w:t xml:space="preserve">Zitiervorschlag: § 15 LKrWG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https://recht.nulegal.eu/gesetze/LKrWG/15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