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LKrWG (Nordrhein-Westfalen) — Abfallwirtschaftsplan</w:t>
      </w:r>
    </w:p>
    <w:p>
      <w:r>
        <w:rPr>
          <w:color w:val="555555"/>
          <w:sz w:val="18"/>
        </w:rPr>
        <w:t xml:space="preserve">Landeskreislaufwirtschaftsgesetz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Abfallwirtschaftsplan im Sinn von § 30 des Kreislaufwirtschaftsgesetzes kann in räumlichen oder sachlichen Teilabschnitten aufgestellt werden.</w:t>
      </w:r>
    </w:p>
    <w:p>
      <w:r>
        <w:t xml:space="preserve">(2) In den Abfallwirtschaftsplan ist entsprechend Art. 14 der Richtlinie 94/62/EG des Europäischen Parlaments und des Rates vom 20. Dezember 1994 über Verpackungen und Verpackungsabfälle (Abl. EG Nr. 365/10 ff. vom 31. Dezember 1994) ein besonderes Kapitel über Verpackungen und die Bewirtschaftung der daraus entstehenden Abfälle sowie über vorgesehene Maßnahmen der Abfallvermeidung und der Wiederverwendung aufzunehmen.</w:t>
      </w:r>
    </w:p>
    <w:p>
      <w:r>
        <w:rPr>
          <w:color w:val="555555"/>
          <w:sz w:val="17"/>
        </w:rPr>
        <w:t xml:space="preserve">Zitiervorschlag: § 10 LKrWG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https://recht.nulegal.eu/gesetze/LKrWG/10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