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LKrWG (Nordrhein-Westfalen) — Ziele des Gesetzes</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Ziele des Gesetzes sind:</w:t>
      </w:r>
    </w:p>
    <w:p>
      <w:r>
        <w:t xml:space="preserve">1. den Anfall von Abfällen so gering wie möglich zu halten (Abfallvermeidung), insbesondere durch Maßnahmen gemäß § 3 Absatz 20 des Kreislaufwirtschaftsgesetzes vom 24. Februar 2012 (BGBl. I S. 212) in der jeweils geltenden Fassung,</w:t>
      </w:r>
    </w:p>
    <w:p>
      <w:r>
        <w:t xml:space="preserve">2. angefallene Abfälle zur Wiederverwendung vorzubereiten (Vorbereitung zur Wiederverwendung),</w:t>
      </w:r>
    </w:p>
    <w:p>
      <w:r>
        <w:t xml:space="preserve">3. angefallene Abfälle, insbesondere Glas, Papier, Metall, Kunststoff und Bau- und Abbruchabfälle, durch Verfahren gemäß § 3 Absatz 25 des Kreislaufwirtschaftsgesetzes in den Stoffkreislauf zurückzuführen (Recycling),</w:t>
      </w:r>
    </w:p>
    <w:p>
      <w:r>
        <w:t xml:space="preserve">4. nicht durch Recycling verwertbare Abfälle auf sonstige Weise, insbesondere durch energetische Verwertung und Verfüllung, zu verwerten (sonstige Verwertung) und</w:t>
      </w:r>
    </w:p>
    <w:p>
      <w:r>
        <w:t xml:space="preserve">5. nicht verwertbare Abfälle umweltverträglich zu beseitigen (Beseitigung).</w:t>
      </w:r>
    </w:p>
    <w:p>
      <w:r>
        <w:t xml:space="preserve">Die Rangfolge der Ziele ergibt sich aus der Reihenfolge der Nennung in Satz 1. Die Ziele sind nach Maßgabe des Kreislaufwirtschaftsgesetzes, insbesondere der §§ 6 und 7 des Kreislaufwirtschaftsgesetzes, so zu verwirklichen, dass das Wohl der Allgemeinheit nicht beeinträchtigt wird, insbesondere nicht durch Gefährdung der menschlichen Gesundheit und der Umwelt. Alle Bürgerinnen und Bürger sollen durch ihr Verhalten zur Verwirklichung der Ziele dieses Gesetzes beitragen.</w:t>
      </w:r>
    </w:p>
    <w:p>
      <w:r>
        <w:t xml:space="preserve">(2) Zur Erreichung der Ziele wird das Land insbesondere unterstützen</w:t>
      </w:r>
    </w:p>
    <w:p>
      <w:r>
        <w:t xml:space="preserve">1. das schadstoff- und abfallarme sowie möglichst klimaneutrale Herstellen, Be- und Verarbeiten und in Verkehr bringen von Erzeugnissen,</w:t>
      </w:r>
    </w:p>
    <w:p>
      <w:r>
        <w:t xml:space="preserve">2. die Erhöhung der Gebrauchsdauer, Haltbarkeit und Reparaturfreundlichkeit von Erzeugnissen,</w:t>
      </w:r>
    </w:p>
    <w:p>
      <w:r>
        <w:t xml:space="preserve">3. die Steigerung der Wiederverwendung oder Mehrfachverwendung von Erzeugnissen,</w:t>
      </w:r>
    </w:p>
    <w:p>
      <w:r>
        <w:t xml:space="preserve">4. die Entwicklung und Anwendung von Verfahren zur umweltverträglichen Verwertung von Abfällen,</w:t>
      </w:r>
    </w:p>
    <w:p>
      <w:r>
        <w:t xml:space="preserve">5. die Verminderung des Schadstoffgehalts in Erzeugnissen und Abfällen.</w:t>
      </w:r>
    </w:p>
    <w:p>
      <w:r>
        <w:t xml:space="preserve">Das Land stellt die Maßnahmen im Abfallwirtschaftsplan gemäß §§ 10 und 11 dar. § 6 Absatz 2 Nummer 2 gilt unbeschadet.</w:t>
      </w:r>
    </w:p>
    <w:p>
      <w:r>
        <w:t xml:space="preserve">(3) Abfälle im Sinn von § 30 Absatz 1 Satz 2 Nummer 4 des Kreislaufwirtschaftsgesetzes, die im Land Nordrhein-Westfalen anfallen, sollen vorrangig im Lande selbst beseitigt werden (Grundsatz der Entsorgungsautarkie). Bei allen Maßnahmen der Abfallentsorgung ist unter Beachtung der vorstehenden Ziele und Grundsätze eine möglichst wirtschaftliche Lösung anzustreben.</w:t>
      </w:r>
    </w:p>
    <w:p>
      <w:r>
        <w:rPr>
          <w:color w:val="555555"/>
          <w:sz w:val="17"/>
        </w:rPr>
        <w:t xml:space="preserve">Zitiervorschlag: § 1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